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0A32" w14:textId="77777777" w:rsidR="00861E0A" w:rsidRDefault="00861E0A" w:rsidP="00861E0A">
      <w:pPr>
        <w:pStyle w:val="Heading1"/>
        <w:jc w:val="center"/>
        <w:rPr>
          <w:color w:val="000099"/>
        </w:rPr>
      </w:pPr>
    </w:p>
    <w:p w14:paraId="6B480A33" w14:textId="77777777" w:rsidR="00861E0A" w:rsidRPr="00674294" w:rsidRDefault="00861E0A" w:rsidP="00861E0A">
      <w:pPr>
        <w:pStyle w:val="Heading1"/>
        <w:jc w:val="center"/>
        <w:rPr>
          <w:color w:val="1F497D" w:themeColor="text2"/>
        </w:rPr>
      </w:pPr>
      <w:r w:rsidRPr="00674294">
        <w:rPr>
          <w:noProof/>
          <w:color w:val="1F497D" w:themeColor="text2"/>
        </w:rPr>
        <w:drawing>
          <wp:anchor distT="0" distB="0" distL="114300" distR="114300" simplePos="0" relativeHeight="251658240" behindDoc="1" locked="0" layoutInCell="1" allowOverlap="1" wp14:anchorId="6B480A74" wp14:editId="6B480A75">
            <wp:simplePos x="0" y="0"/>
            <wp:positionH relativeFrom="column">
              <wp:posOffset>-276225</wp:posOffset>
            </wp:positionH>
            <wp:positionV relativeFrom="paragraph">
              <wp:posOffset>-619125</wp:posOffset>
            </wp:positionV>
            <wp:extent cx="2286000" cy="595630"/>
            <wp:effectExtent l="0" t="0" r="0" b="0"/>
            <wp:wrapTight wrapText="bothSides">
              <wp:wrapPolygon edited="0">
                <wp:start x="0" y="0"/>
                <wp:lineTo x="0" y="20725"/>
                <wp:lineTo x="21420" y="20725"/>
                <wp:lineTo x="21420" y="0"/>
                <wp:lineTo x="0" y="0"/>
              </wp:wrapPolygon>
            </wp:wrapTight>
            <wp:docPr id="2" name="Picture 2" descr="UHN Hospitals with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N Hospitals with t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294">
        <w:rPr>
          <w:color w:val="1F497D" w:themeColor="text2"/>
        </w:rPr>
        <w:t>CPE RESIDENCY YEAR</w:t>
      </w:r>
    </w:p>
    <w:p w14:paraId="6B480A34" w14:textId="77777777" w:rsidR="00861E0A" w:rsidRPr="00674294" w:rsidRDefault="00861E0A" w:rsidP="00861E0A">
      <w:pPr>
        <w:pStyle w:val="NormalWeb"/>
        <w:spacing w:before="0" w:beforeAutospacing="0" w:after="0" w:afterAutospacing="0"/>
        <w:rPr>
          <w:rFonts w:ascii="Arial" w:hAnsi="Arial" w:cs="Arial"/>
          <w:color w:val="1F497D" w:themeColor="text2"/>
          <w:sz w:val="20"/>
          <w:szCs w:val="20"/>
          <w:lang w:val="en-CA"/>
        </w:rPr>
      </w:pPr>
    </w:p>
    <w:p w14:paraId="6B480A35" w14:textId="4601F18E" w:rsidR="00861E0A" w:rsidRPr="00674294" w:rsidRDefault="002D566F" w:rsidP="00861E0A">
      <w:pPr>
        <w:pStyle w:val="NormalWeb"/>
        <w:spacing w:before="0" w:beforeAutospacing="0" w:after="0" w:afterAutospacing="0"/>
        <w:rPr>
          <w:rFonts w:ascii="Arial" w:hAnsi="Arial" w:cs="Arial"/>
          <w:color w:val="1F497D" w:themeColor="text2"/>
          <w:sz w:val="20"/>
          <w:szCs w:val="20"/>
          <w:lang w:val="en-CA"/>
        </w:rPr>
      </w:pPr>
      <w:r w:rsidRPr="00674294">
        <w:rPr>
          <w:rFonts w:ascii="Arial" w:hAnsi="Arial" w:cs="Arial"/>
          <w:color w:val="1F497D" w:themeColor="text2"/>
          <w:sz w:val="20"/>
          <w:szCs w:val="20"/>
          <w:lang w:val="en-CA"/>
        </w:rPr>
        <w:t>A 12 month (3 courses</w:t>
      </w:r>
      <w:r w:rsidR="00861E0A" w:rsidRPr="00674294">
        <w:rPr>
          <w:rFonts w:ascii="Arial" w:hAnsi="Arial" w:cs="Arial"/>
          <w:color w:val="1F497D" w:themeColor="text2"/>
          <w:sz w:val="20"/>
          <w:szCs w:val="20"/>
          <w:lang w:val="en-CA"/>
        </w:rPr>
        <w:t>) residency programme designed for those who are preparing for fu</w:t>
      </w:r>
      <w:r w:rsidRPr="00674294">
        <w:rPr>
          <w:rFonts w:ascii="Arial" w:hAnsi="Arial" w:cs="Arial"/>
          <w:color w:val="1F497D" w:themeColor="text2"/>
          <w:sz w:val="20"/>
          <w:szCs w:val="20"/>
          <w:lang w:val="en-CA"/>
        </w:rPr>
        <w:t xml:space="preserve">ll-time spiritual care work, </w:t>
      </w:r>
      <w:r w:rsidR="00861E0A" w:rsidRPr="00674294">
        <w:rPr>
          <w:rFonts w:ascii="Arial" w:hAnsi="Arial" w:cs="Arial"/>
          <w:color w:val="1F497D" w:themeColor="text2"/>
          <w:sz w:val="20"/>
          <w:szCs w:val="20"/>
          <w:lang w:val="en-CA"/>
        </w:rPr>
        <w:t>certification as Specialist with the Canadian Association for Spiritual Care (CASC)</w:t>
      </w:r>
      <w:r w:rsidRPr="00674294">
        <w:rPr>
          <w:rFonts w:ascii="Arial" w:hAnsi="Arial" w:cs="Arial"/>
          <w:color w:val="1F497D" w:themeColor="text2"/>
          <w:sz w:val="20"/>
          <w:szCs w:val="20"/>
          <w:lang w:val="en-CA"/>
        </w:rPr>
        <w:t>, and registration with the College of Psychotherapists of Ontario (CRPO)</w:t>
      </w:r>
      <w:r w:rsidR="00861E0A" w:rsidRPr="00674294">
        <w:rPr>
          <w:rFonts w:ascii="Arial" w:hAnsi="Arial" w:cs="Arial"/>
          <w:color w:val="1F497D" w:themeColor="text2"/>
          <w:sz w:val="20"/>
          <w:szCs w:val="20"/>
          <w:lang w:val="en-CA"/>
        </w:rPr>
        <w:t>. This programme con</w:t>
      </w:r>
      <w:r w:rsidR="00674294" w:rsidRPr="00674294">
        <w:rPr>
          <w:rFonts w:ascii="Arial" w:hAnsi="Arial" w:cs="Arial"/>
          <w:color w:val="1F497D" w:themeColor="text2"/>
          <w:sz w:val="20"/>
          <w:szCs w:val="20"/>
          <w:lang w:val="en-CA"/>
        </w:rPr>
        <w:t>sists of two basic courses</w:t>
      </w:r>
      <w:r w:rsidRPr="00674294">
        <w:rPr>
          <w:rFonts w:ascii="Arial" w:hAnsi="Arial" w:cs="Arial"/>
          <w:color w:val="1F497D" w:themeColor="text2"/>
          <w:sz w:val="20"/>
          <w:szCs w:val="20"/>
          <w:lang w:val="en-CA"/>
        </w:rPr>
        <w:t xml:space="preserve"> and one</w:t>
      </w:r>
      <w:r w:rsidR="00861E0A" w:rsidRPr="00674294">
        <w:rPr>
          <w:rFonts w:ascii="Arial" w:hAnsi="Arial" w:cs="Arial"/>
          <w:color w:val="1F497D" w:themeColor="text2"/>
          <w:sz w:val="20"/>
          <w:szCs w:val="20"/>
          <w:lang w:val="en-CA"/>
        </w:rPr>
        <w:t xml:space="preserve"> adva</w:t>
      </w:r>
      <w:r w:rsidR="00674294" w:rsidRPr="00674294">
        <w:rPr>
          <w:rFonts w:ascii="Arial" w:hAnsi="Arial" w:cs="Arial"/>
          <w:color w:val="1F497D" w:themeColor="text2"/>
          <w:sz w:val="20"/>
          <w:szCs w:val="20"/>
          <w:lang w:val="en-CA"/>
        </w:rPr>
        <w:t>nced course</w:t>
      </w:r>
      <w:r w:rsidR="00861E0A" w:rsidRPr="00674294">
        <w:rPr>
          <w:rFonts w:ascii="Arial" w:hAnsi="Arial" w:cs="Arial"/>
          <w:color w:val="1F497D" w:themeColor="text2"/>
          <w:sz w:val="20"/>
          <w:szCs w:val="20"/>
          <w:lang w:val="en-CA"/>
        </w:rPr>
        <w:t xml:space="preserve"> under the auspices of CASC. </w:t>
      </w:r>
      <w:r w:rsidR="00674294" w:rsidRPr="00674294">
        <w:rPr>
          <w:rFonts w:ascii="Arial" w:hAnsi="Arial" w:cs="Arial"/>
          <w:color w:val="1F497D" w:themeColor="text2"/>
          <w:sz w:val="20"/>
          <w:szCs w:val="20"/>
          <w:lang w:val="en-CA"/>
        </w:rPr>
        <w:t xml:space="preserve">There is a month of practicum consolidation between each of the courses. </w:t>
      </w:r>
      <w:r w:rsidR="00861E0A" w:rsidRPr="00674294">
        <w:rPr>
          <w:rFonts w:ascii="Arial" w:hAnsi="Arial" w:cs="Arial"/>
          <w:color w:val="1F497D" w:themeColor="text2"/>
          <w:sz w:val="20"/>
          <w:szCs w:val="20"/>
          <w:lang w:val="en-CA"/>
        </w:rPr>
        <w:t xml:space="preserve">This is a full-time, Monday to Friday programme including a regular rotation of on-call. Library privileges at the University of Toronto are available to students. </w:t>
      </w:r>
    </w:p>
    <w:p w14:paraId="6B480A36" w14:textId="77777777" w:rsidR="00861E0A" w:rsidRPr="00674294" w:rsidRDefault="00861E0A" w:rsidP="00861E0A">
      <w:pPr>
        <w:autoSpaceDE w:val="0"/>
        <w:autoSpaceDN w:val="0"/>
        <w:adjustRightInd w:val="0"/>
        <w:jc w:val="center"/>
        <w:rPr>
          <w:rFonts w:ascii="Arial-BoldMT" w:hAnsi="Arial-BoldMT" w:cs="Arial-BoldMT"/>
          <w:b/>
          <w:bCs/>
          <w:color w:val="1F497D" w:themeColor="text2"/>
          <w:sz w:val="28"/>
          <w:szCs w:val="28"/>
        </w:rPr>
      </w:pPr>
    </w:p>
    <w:p w14:paraId="6B480A37" w14:textId="77777777" w:rsidR="00861E0A" w:rsidRPr="00674294" w:rsidRDefault="00861E0A" w:rsidP="00861E0A">
      <w:pPr>
        <w:pStyle w:val="BodyText"/>
        <w:spacing w:after="0"/>
        <w:rPr>
          <w:rFonts w:ascii="Arial" w:hAnsi="Arial" w:cs="Arial"/>
          <w:color w:val="1F497D" w:themeColor="text2"/>
          <w:sz w:val="20"/>
          <w:szCs w:val="20"/>
        </w:rPr>
      </w:pPr>
      <w:r w:rsidRPr="00674294">
        <w:rPr>
          <w:rFonts w:ascii="Arial" w:hAnsi="Arial" w:cs="Arial"/>
          <w:b/>
          <w:bCs/>
          <w:color w:val="1F497D" w:themeColor="text2"/>
          <w:sz w:val="20"/>
          <w:szCs w:val="20"/>
        </w:rPr>
        <w:t>The University Health Network</w:t>
      </w:r>
    </w:p>
    <w:p w14:paraId="0D8BD888" w14:textId="77777777" w:rsidR="00674294" w:rsidRPr="00674294" w:rsidRDefault="00674294" w:rsidP="00674294">
      <w:pPr>
        <w:spacing w:after="150"/>
        <w:rPr>
          <w:rFonts w:ascii="Arial" w:hAnsi="Arial" w:cs="Arial"/>
          <w:color w:val="1F497D" w:themeColor="text2"/>
          <w:sz w:val="20"/>
          <w:szCs w:val="20"/>
        </w:rPr>
      </w:pPr>
      <w:r w:rsidRPr="00674294">
        <w:rPr>
          <w:rFonts w:ascii="Arial" w:hAnsi="Arial" w:cs="Arial"/>
          <w:color w:val="1F497D" w:themeColor="text2"/>
          <w:sz w:val="20"/>
          <w:szCs w:val="20"/>
        </w:rPr>
        <w:t>The University Health Network has grown out of a series of mergers between our current hospitals, as we have adjusted and change to accommodate our growing and changing patient community in and around the GTA.</w:t>
      </w:r>
    </w:p>
    <w:p w14:paraId="48FE80E5" w14:textId="77777777" w:rsidR="00674294" w:rsidRPr="00674294" w:rsidRDefault="00674294" w:rsidP="00674294">
      <w:pPr>
        <w:spacing w:after="150"/>
        <w:rPr>
          <w:rFonts w:ascii="Arial" w:hAnsi="Arial" w:cs="Arial"/>
          <w:color w:val="1F497D" w:themeColor="text2"/>
          <w:sz w:val="20"/>
          <w:szCs w:val="20"/>
        </w:rPr>
      </w:pPr>
      <w:r w:rsidRPr="00674294">
        <w:rPr>
          <w:rFonts w:ascii="Arial" w:hAnsi="Arial" w:cs="Arial"/>
          <w:color w:val="1F497D" w:themeColor="text2"/>
          <w:sz w:val="20"/>
          <w:szCs w:val="20"/>
        </w:rPr>
        <w:t>In 1986, the Toronto Western Hospital merged with the Toronto General Hospital becoming, respectively, the Toronto Western Division and the Toronto General Division of The Toronto Hospital. On January 1, 1998, the Toronto Hospital was amalgamated with the Ontario Cancer Institute/Princess Margaret Hospital, and in April 1999, the name was officially changed to the University Health Network.</w:t>
      </w:r>
    </w:p>
    <w:p w14:paraId="66A3A077" w14:textId="77777777" w:rsidR="00674294" w:rsidRPr="00674294" w:rsidRDefault="00674294" w:rsidP="00674294">
      <w:pPr>
        <w:spacing w:after="150"/>
        <w:rPr>
          <w:rFonts w:ascii="Arial" w:hAnsi="Arial" w:cs="Arial"/>
          <w:color w:val="1F497D" w:themeColor="text2"/>
          <w:sz w:val="20"/>
          <w:szCs w:val="20"/>
        </w:rPr>
      </w:pPr>
      <w:r w:rsidRPr="00674294">
        <w:rPr>
          <w:rFonts w:ascii="Arial" w:hAnsi="Arial" w:cs="Arial"/>
          <w:color w:val="1F497D" w:themeColor="text2"/>
          <w:sz w:val="20"/>
          <w:szCs w:val="20"/>
        </w:rPr>
        <w:t>On July 1, 2011, UHN integrated with the Toronto Rehab Institute, a move which has physically expanded us to eight locations around the city, and allows us to better serve our patients by bringing together acute hospital care with the rehabilitation care that so frequently follows a hospital stay.</w:t>
      </w:r>
    </w:p>
    <w:p w14:paraId="2E4FD5D0" w14:textId="77777777" w:rsidR="00674294" w:rsidRPr="00674294" w:rsidRDefault="00674294" w:rsidP="00674294">
      <w:pPr>
        <w:spacing w:after="150"/>
        <w:rPr>
          <w:rFonts w:ascii="Arial" w:hAnsi="Arial" w:cs="Arial"/>
          <w:color w:val="1F497D" w:themeColor="text2"/>
          <w:sz w:val="20"/>
          <w:szCs w:val="20"/>
        </w:rPr>
      </w:pPr>
      <w:r w:rsidRPr="00674294">
        <w:rPr>
          <w:rFonts w:ascii="Arial" w:hAnsi="Arial" w:cs="Arial"/>
          <w:color w:val="1F497D" w:themeColor="text2"/>
          <w:sz w:val="20"/>
          <w:szCs w:val="20"/>
        </w:rPr>
        <w:t>On January 1, 2016, UHN integrated with the Michener Institute, now called the Michener Institute of Education at UHN. This new relationship is the first integration of a health care organization and an educational institution, in Canada. Our integration offers a wonderful opportunity for students in a variety of health professions, just as it offers UHN and all the hospitals which take part in the Michener program, the ability to work with students who will be the future of healthcare in this province.</w:t>
      </w:r>
    </w:p>
    <w:p w14:paraId="6B480A39" w14:textId="77777777" w:rsidR="00861E0A" w:rsidRPr="00674294" w:rsidRDefault="00861E0A" w:rsidP="00861E0A">
      <w:pPr>
        <w:pStyle w:val="BodyText"/>
        <w:spacing w:after="0"/>
        <w:rPr>
          <w:rFonts w:ascii="Arial" w:hAnsi="Arial" w:cs="Arial"/>
          <w:color w:val="1F497D" w:themeColor="text2"/>
          <w:sz w:val="20"/>
          <w:szCs w:val="20"/>
        </w:rPr>
      </w:pPr>
    </w:p>
    <w:p w14:paraId="6B480A42" w14:textId="77777777" w:rsidR="004F1A60" w:rsidRPr="00674294" w:rsidRDefault="004F1A60" w:rsidP="00861E0A">
      <w:pPr>
        <w:autoSpaceDE w:val="0"/>
        <w:autoSpaceDN w:val="0"/>
        <w:adjustRightInd w:val="0"/>
        <w:rPr>
          <w:rFonts w:ascii="Arial" w:hAnsi="Arial" w:cs="Arial"/>
          <w:b/>
          <w:bCs/>
          <w:color w:val="1F497D" w:themeColor="text2"/>
          <w:sz w:val="20"/>
          <w:szCs w:val="20"/>
        </w:rPr>
      </w:pPr>
      <w:r w:rsidRPr="00674294">
        <w:rPr>
          <w:rFonts w:ascii="Arial" w:hAnsi="Arial" w:cs="Arial"/>
          <w:b/>
          <w:bCs/>
          <w:color w:val="1F497D" w:themeColor="text2"/>
          <w:sz w:val="20"/>
          <w:szCs w:val="20"/>
        </w:rPr>
        <w:t>Education at UHN</w:t>
      </w:r>
    </w:p>
    <w:p w14:paraId="6B480A43" w14:textId="77777777" w:rsidR="004F1A60" w:rsidRPr="00674294" w:rsidRDefault="004F1A60" w:rsidP="00861E0A">
      <w:pPr>
        <w:autoSpaceDE w:val="0"/>
        <w:autoSpaceDN w:val="0"/>
        <w:adjustRightInd w:val="0"/>
        <w:rPr>
          <w:rFonts w:ascii="Arial" w:hAnsi="Arial" w:cs="Arial"/>
          <w:b/>
          <w:bCs/>
          <w:color w:val="1F497D" w:themeColor="text2"/>
          <w:sz w:val="20"/>
          <w:szCs w:val="20"/>
        </w:rPr>
      </w:pPr>
      <w:r w:rsidRPr="00674294">
        <w:rPr>
          <w:rStyle w:val="info1"/>
          <w:color w:val="1F497D" w:themeColor="text2"/>
        </w:rPr>
        <w:t>The principal mission of education at UHN is to train health care professionals for the future. We do this through our affiliation with many institutions of higher learning. Our principal affiliation is with University of Toronto; however, we have formal teaching arrangements with over 40 institutions. At UHN we train over 3,000 students per year. Sixty-three percent of these are medical trainees. The next largest groups by numbers are nursing accounting for 20%. We train students in virtually every health care profession from spiritual care to pharmacy to medical engineering. On every ward in every outpatient clinic and in every laboratory one can find students learning the science and art of their future profession.</w:t>
      </w:r>
    </w:p>
    <w:p w14:paraId="6B480A44" w14:textId="77777777" w:rsidR="004F1A60" w:rsidRPr="00674294" w:rsidRDefault="004F1A60" w:rsidP="00861E0A">
      <w:pPr>
        <w:autoSpaceDE w:val="0"/>
        <w:autoSpaceDN w:val="0"/>
        <w:adjustRightInd w:val="0"/>
        <w:rPr>
          <w:rFonts w:ascii="Arial" w:hAnsi="Arial" w:cs="Arial"/>
          <w:b/>
          <w:bCs/>
          <w:color w:val="1F497D" w:themeColor="text2"/>
          <w:sz w:val="20"/>
          <w:szCs w:val="20"/>
        </w:rPr>
      </w:pPr>
    </w:p>
    <w:p w14:paraId="6B480A45" w14:textId="77777777" w:rsidR="004F1A60" w:rsidRPr="00674294" w:rsidRDefault="004F1A60" w:rsidP="00861E0A">
      <w:pPr>
        <w:autoSpaceDE w:val="0"/>
        <w:autoSpaceDN w:val="0"/>
        <w:adjustRightInd w:val="0"/>
        <w:rPr>
          <w:rFonts w:ascii="Arial" w:hAnsi="Arial" w:cs="Arial"/>
          <w:b/>
          <w:bCs/>
          <w:color w:val="1F497D" w:themeColor="text2"/>
          <w:sz w:val="20"/>
          <w:szCs w:val="20"/>
        </w:rPr>
      </w:pPr>
    </w:p>
    <w:p w14:paraId="6B480A46" w14:textId="77777777" w:rsidR="00861E0A" w:rsidRPr="00674294" w:rsidRDefault="00861E0A" w:rsidP="00861E0A">
      <w:pPr>
        <w:autoSpaceDE w:val="0"/>
        <w:autoSpaceDN w:val="0"/>
        <w:adjustRightInd w:val="0"/>
        <w:rPr>
          <w:rFonts w:ascii="Arial" w:hAnsi="Arial" w:cs="Arial"/>
          <w:b/>
          <w:bCs/>
          <w:color w:val="1F497D" w:themeColor="text2"/>
          <w:sz w:val="20"/>
          <w:szCs w:val="20"/>
        </w:rPr>
      </w:pPr>
      <w:r w:rsidRPr="00674294">
        <w:rPr>
          <w:rFonts w:ascii="Arial" w:hAnsi="Arial" w:cs="Arial"/>
          <w:b/>
          <w:bCs/>
          <w:color w:val="1F497D" w:themeColor="text2"/>
          <w:sz w:val="20"/>
          <w:szCs w:val="20"/>
        </w:rPr>
        <w:t>Spiritual Care: Our Vision</w:t>
      </w:r>
    </w:p>
    <w:p w14:paraId="6B480A47" w14:textId="77777777" w:rsidR="00861E0A" w:rsidRPr="00674294" w:rsidRDefault="00861E0A" w:rsidP="00861E0A">
      <w:pPr>
        <w:autoSpaceDE w:val="0"/>
        <w:autoSpaceDN w:val="0"/>
        <w:adjustRightInd w:val="0"/>
        <w:rPr>
          <w:rFonts w:ascii="Arial" w:hAnsi="Arial" w:cs="Arial"/>
          <w:color w:val="1F497D" w:themeColor="text2"/>
          <w:sz w:val="20"/>
          <w:szCs w:val="20"/>
        </w:rPr>
      </w:pPr>
      <w:r w:rsidRPr="00674294">
        <w:rPr>
          <w:rFonts w:ascii="Arial" w:hAnsi="Arial" w:cs="Arial"/>
          <w:color w:val="1F497D" w:themeColor="text2"/>
          <w:sz w:val="20"/>
          <w:szCs w:val="20"/>
        </w:rPr>
        <w:t>At UHN, we recognize that health care involves the whole person – mind, body and spirit. In times of illness, trauma and loss, people often require more than physical care to help them cope. Many find their</w:t>
      </w:r>
    </w:p>
    <w:p w14:paraId="6B480A48" w14:textId="77B69BF3" w:rsidR="00861E0A" w:rsidRPr="00674294" w:rsidRDefault="00997DD2" w:rsidP="00861E0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s</w:t>
      </w:r>
      <w:r w:rsidRPr="00674294">
        <w:rPr>
          <w:rFonts w:ascii="Arial" w:hAnsi="Arial" w:cs="Arial"/>
          <w:color w:val="1F497D" w:themeColor="text2"/>
          <w:sz w:val="20"/>
          <w:szCs w:val="20"/>
        </w:rPr>
        <w:t>pirituality</w:t>
      </w:r>
      <w:r w:rsidR="00861E0A" w:rsidRPr="00674294">
        <w:rPr>
          <w:rFonts w:ascii="Arial" w:hAnsi="Arial" w:cs="Arial"/>
          <w:color w:val="1F497D" w:themeColor="text2"/>
          <w:sz w:val="20"/>
          <w:szCs w:val="20"/>
        </w:rPr>
        <w:t xml:space="preserve"> helps them maintain health and provides support in the midst of life transitions by integrating their body, mind, and spirit.</w:t>
      </w:r>
      <w:r w:rsidR="0066285B" w:rsidRPr="00674294">
        <w:rPr>
          <w:rFonts w:ascii="Arial" w:hAnsi="Arial" w:cs="Arial"/>
          <w:color w:val="1F497D" w:themeColor="text2"/>
          <w:sz w:val="20"/>
          <w:szCs w:val="20"/>
        </w:rPr>
        <w:t xml:space="preserve"> </w:t>
      </w:r>
      <w:r w:rsidR="00861E0A" w:rsidRPr="00674294">
        <w:rPr>
          <w:rFonts w:ascii="Arial" w:hAnsi="Arial" w:cs="Arial"/>
          <w:color w:val="1F497D" w:themeColor="text2"/>
          <w:sz w:val="20"/>
          <w:szCs w:val="20"/>
        </w:rPr>
        <w:t>Spiritual care is care of individuals, focusing on personal beliefs, core values, significant relationships, meanings, and behaviours around which we understand our lived experience. Spirituality refers to that part in each of us which seeks to find meaning and purpose in our lives.</w:t>
      </w:r>
    </w:p>
    <w:p w14:paraId="6B480A49" w14:textId="77777777" w:rsidR="00861E0A" w:rsidRPr="00674294" w:rsidRDefault="00861E0A" w:rsidP="00861E0A">
      <w:pPr>
        <w:autoSpaceDE w:val="0"/>
        <w:autoSpaceDN w:val="0"/>
        <w:adjustRightInd w:val="0"/>
        <w:rPr>
          <w:rFonts w:ascii="Arial" w:hAnsi="Arial" w:cs="Arial"/>
          <w:color w:val="1F497D" w:themeColor="text2"/>
          <w:sz w:val="20"/>
          <w:szCs w:val="20"/>
        </w:rPr>
      </w:pPr>
    </w:p>
    <w:p w14:paraId="6B480A4A" w14:textId="12998D8B" w:rsidR="00861E0A" w:rsidRPr="00674294" w:rsidRDefault="00310A64" w:rsidP="00861E0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Certified Spiritual Care Practitioners</w:t>
      </w:r>
      <w:r w:rsidR="00861E0A" w:rsidRPr="00674294">
        <w:rPr>
          <w:rFonts w:ascii="Arial" w:hAnsi="Arial" w:cs="Arial"/>
          <w:color w:val="1F497D" w:themeColor="text2"/>
          <w:sz w:val="20"/>
          <w:szCs w:val="20"/>
        </w:rPr>
        <w:t xml:space="preserve"> facilitate expression of an individual’s beliefs, values, concerns, and emotions in a way that honours all feelings. We understand that spiritual expression can take many forms: interpersonal relationships, ties to community, artistic creation, religious practice, connection to </w:t>
      </w:r>
      <w:r w:rsidR="00861E0A" w:rsidRPr="00674294">
        <w:rPr>
          <w:rFonts w:ascii="Arial" w:hAnsi="Arial" w:cs="Arial"/>
          <w:color w:val="1F497D" w:themeColor="text2"/>
          <w:sz w:val="20"/>
          <w:szCs w:val="20"/>
        </w:rPr>
        <w:lastRenderedPageBreak/>
        <w:t>nature, and more. We strive to support all aspects of spiritual expression and to respect the spiritual dimension of all persons regardless of race, colour, culture, belief system, ability, gender,</w:t>
      </w:r>
    </w:p>
    <w:p w14:paraId="6B480A4B" w14:textId="77777777" w:rsidR="00861E0A" w:rsidRPr="00674294" w:rsidRDefault="00861E0A" w:rsidP="00861E0A">
      <w:pPr>
        <w:autoSpaceDE w:val="0"/>
        <w:autoSpaceDN w:val="0"/>
        <w:adjustRightInd w:val="0"/>
        <w:rPr>
          <w:rFonts w:ascii="Arial" w:hAnsi="Arial" w:cs="Arial"/>
          <w:color w:val="1F497D" w:themeColor="text2"/>
          <w:sz w:val="20"/>
          <w:szCs w:val="20"/>
        </w:rPr>
      </w:pPr>
      <w:r w:rsidRPr="00674294">
        <w:rPr>
          <w:rFonts w:ascii="Arial" w:hAnsi="Arial" w:cs="Arial"/>
          <w:color w:val="1F497D" w:themeColor="text2"/>
          <w:sz w:val="20"/>
          <w:szCs w:val="20"/>
        </w:rPr>
        <w:t>gender identity, or sexual orientation.</w:t>
      </w:r>
    </w:p>
    <w:p w14:paraId="6B480A4C" w14:textId="77777777" w:rsidR="00861E0A" w:rsidRPr="00674294" w:rsidRDefault="00861E0A" w:rsidP="00861E0A">
      <w:pPr>
        <w:autoSpaceDE w:val="0"/>
        <w:autoSpaceDN w:val="0"/>
        <w:adjustRightInd w:val="0"/>
        <w:rPr>
          <w:rFonts w:ascii="Arial" w:hAnsi="Arial" w:cs="Arial"/>
          <w:color w:val="1F497D" w:themeColor="text2"/>
          <w:sz w:val="20"/>
          <w:szCs w:val="20"/>
        </w:rPr>
      </w:pPr>
    </w:p>
    <w:p w14:paraId="6B480A4D" w14:textId="77777777" w:rsidR="00861E0A" w:rsidRPr="00674294" w:rsidRDefault="0066285B" w:rsidP="00861E0A">
      <w:pPr>
        <w:autoSpaceDE w:val="0"/>
        <w:autoSpaceDN w:val="0"/>
        <w:adjustRightInd w:val="0"/>
        <w:rPr>
          <w:rFonts w:ascii="Arial" w:hAnsi="Arial" w:cs="Arial"/>
          <w:color w:val="1F497D" w:themeColor="text2"/>
          <w:sz w:val="20"/>
          <w:szCs w:val="20"/>
        </w:rPr>
      </w:pPr>
      <w:r w:rsidRPr="00674294">
        <w:rPr>
          <w:rFonts w:ascii="Arial" w:hAnsi="Arial" w:cs="Arial"/>
          <w:color w:val="1F497D" w:themeColor="text2"/>
          <w:sz w:val="20"/>
          <w:szCs w:val="20"/>
        </w:rPr>
        <w:t>Spiritual Care Residents</w:t>
      </w:r>
      <w:r w:rsidR="00861E0A" w:rsidRPr="00674294">
        <w:rPr>
          <w:rFonts w:ascii="Arial" w:hAnsi="Arial" w:cs="Arial"/>
          <w:color w:val="1F497D" w:themeColor="text2"/>
          <w:sz w:val="20"/>
          <w:szCs w:val="20"/>
        </w:rPr>
        <w:t xml:space="preserve"> are part of the healthcare team providing care to patients and families at UHN, as well as offering sp</w:t>
      </w:r>
      <w:r w:rsidRPr="00674294">
        <w:rPr>
          <w:rFonts w:ascii="Arial" w:hAnsi="Arial" w:cs="Arial"/>
          <w:color w:val="1F497D" w:themeColor="text2"/>
          <w:sz w:val="20"/>
          <w:szCs w:val="20"/>
        </w:rPr>
        <w:t xml:space="preserve">iritual care to staff. Our residents </w:t>
      </w:r>
      <w:r w:rsidR="00861E0A" w:rsidRPr="00674294">
        <w:rPr>
          <w:rFonts w:ascii="Arial" w:hAnsi="Arial" w:cs="Arial"/>
          <w:color w:val="1F497D" w:themeColor="text2"/>
          <w:sz w:val="20"/>
          <w:szCs w:val="20"/>
        </w:rPr>
        <w:t xml:space="preserve">are integrated into their clinical programs and function as members of the interprofessional team. </w:t>
      </w:r>
    </w:p>
    <w:p w14:paraId="6B480A4E" w14:textId="77777777" w:rsidR="00861E0A" w:rsidRPr="00674294" w:rsidRDefault="00861E0A" w:rsidP="00861E0A">
      <w:pPr>
        <w:rPr>
          <w:rFonts w:ascii="Arial" w:hAnsi="Arial" w:cs="Arial"/>
          <w:color w:val="1F497D" w:themeColor="text2"/>
          <w:sz w:val="20"/>
          <w:szCs w:val="20"/>
        </w:rPr>
      </w:pPr>
    </w:p>
    <w:p w14:paraId="6B480A50" w14:textId="52D262FA" w:rsidR="004F1A60" w:rsidRPr="00674294" w:rsidRDefault="00153E5B" w:rsidP="00AF2AA8">
      <w:pPr>
        <w:spacing w:before="100" w:beforeAutospacing="1" w:after="100" w:afterAutospacing="1"/>
        <w:rPr>
          <w:rFonts w:ascii="Arial" w:hAnsi="Arial" w:cs="Arial"/>
          <w:color w:val="1F497D" w:themeColor="text2"/>
          <w:sz w:val="20"/>
          <w:szCs w:val="20"/>
        </w:rPr>
      </w:pPr>
      <w:r w:rsidRPr="00674294">
        <w:rPr>
          <w:rFonts w:ascii="Arial" w:hAnsi="Arial" w:cs="Arial"/>
          <w:b/>
          <w:bCs/>
          <w:color w:val="1F497D" w:themeColor="text2"/>
          <w:sz w:val="20"/>
          <w:szCs w:val="20"/>
        </w:rPr>
        <w:t>Teaching Staff</w:t>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r>
      <w:r w:rsidR="008541F1" w:rsidRPr="00674294">
        <w:rPr>
          <w:rFonts w:ascii="Arial" w:hAnsi="Arial" w:cs="Arial"/>
          <w:b/>
          <w:bCs/>
          <w:color w:val="1F497D" w:themeColor="text2"/>
          <w:sz w:val="20"/>
          <w:szCs w:val="20"/>
        </w:rPr>
        <w:tab/>
        <w:t xml:space="preserve">        </w:t>
      </w:r>
      <w:r w:rsidRPr="00674294">
        <w:rPr>
          <w:rFonts w:ascii="Arial" w:hAnsi="Arial" w:cs="Arial"/>
          <w:bCs/>
          <w:color w:val="1F497D" w:themeColor="text2"/>
          <w:sz w:val="20"/>
          <w:szCs w:val="20"/>
        </w:rPr>
        <w:t xml:space="preserve">We </w:t>
      </w:r>
      <w:r w:rsidR="00674294" w:rsidRPr="00674294">
        <w:rPr>
          <w:rFonts w:ascii="Arial" w:hAnsi="Arial" w:cs="Arial"/>
          <w:bCs/>
          <w:color w:val="1F497D" w:themeColor="text2"/>
          <w:sz w:val="20"/>
          <w:szCs w:val="20"/>
        </w:rPr>
        <w:t xml:space="preserve">have </w:t>
      </w:r>
      <w:r w:rsidR="00AF2AA8">
        <w:rPr>
          <w:rFonts w:ascii="Arial" w:hAnsi="Arial" w:cs="Arial"/>
          <w:bCs/>
          <w:color w:val="1F497D" w:themeColor="text2"/>
          <w:sz w:val="20"/>
          <w:szCs w:val="20"/>
        </w:rPr>
        <w:t xml:space="preserve">several </w:t>
      </w:r>
      <w:r w:rsidRPr="00674294">
        <w:rPr>
          <w:rFonts w:ascii="Arial" w:hAnsi="Arial" w:cs="Arial"/>
          <w:bCs/>
          <w:color w:val="1F497D" w:themeColor="text2"/>
          <w:sz w:val="20"/>
          <w:szCs w:val="20"/>
        </w:rPr>
        <w:t>CAS</w:t>
      </w:r>
      <w:r w:rsidR="00310A64">
        <w:rPr>
          <w:rFonts w:ascii="Arial" w:hAnsi="Arial" w:cs="Arial"/>
          <w:bCs/>
          <w:color w:val="1F497D" w:themeColor="text2"/>
          <w:sz w:val="20"/>
          <w:szCs w:val="20"/>
        </w:rPr>
        <w:t>C</w:t>
      </w:r>
      <w:r w:rsidR="00AF2AA8">
        <w:rPr>
          <w:rFonts w:ascii="Arial" w:hAnsi="Arial" w:cs="Arial"/>
          <w:bCs/>
          <w:color w:val="1F497D" w:themeColor="text2"/>
          <w:sz w:val="20"/>
          <w:szCs w:val="20"/>
        </w:rPr>
        <w:t>/ACSS</w:t>
      </w:r>
      <w:r w:rsidR="00310A64">
        <w:rPr>
          <w:rFonts w:ascii="Arial" w:hAnsi="Arial" w:cs="Arial"/>
          <w:bCs/>
          <w:color w:val="1F497D" w:themeColor="text2"/>
          <w:sz w:val="20"/>
          <w:szCs w:val="20"/>
        </w:rPr>
        <w:t xml:space="preserve"> Certified Spiritual Care Supervisor-Educators</w:t>
      </w:r>
      <w:r w:rsidRPr="00674294">
        <w:rPr>
          <w:rFonts w:ascii="Arial" w:hAnsi="Arial" w:cs="Arial"/>
          <w:bCs/>
          <w:color w:val="1F497D" w:themeColor="text2"/>
          <w:sz w:val="20"/>
          <w:szCs w:val="20"/>
        </w:rPr>
        <w:t xml:space="preserve"> at UHN. Throughout the course of the program residents will have the oppo</w:t>
      </w:r>
      <w:r w:rsidR="00310A64">
        <w:rPr>
          <w:rFonts w:ascii="Arial" w:hAnsi="Arial" w:cs="Arial"/>
          <w:bCs/>
          <w:color w:val="1F497D" w:themeColor="text2"/>
          <w:sz w:val="20"/>
          <w:szCs w:val="20"/>
        </w:rPr>
        <w:t>rtunity of working them</w:t>
      </w:r>
      <w:r w:rsidRPr="00674294">
        <w:rPr>
          <w:rFonts w:ascii="Arial" w:hAnsi="Arial" w:cs="Arial"/>
          <w:bCs/>
          <w:color w:val="1F497D" w:themeColor="text2"/>
          <w:sz w:val="20"/>
          <w:szCs w:val="20"/>
        </w:rPr>
        <w:t>, and experiencing the breadth of their different teaching</w:t>
      </w:r>
      <w:r w:rsidR="008541F1" w:rsidRPr="00674294">
        <w:rPr>
          <w:rFonts w:ascii="Arial" w:hAnsi="Arial" w:cs="Arial"/>
          <w:bCs/>
          <w:color w:val="1F497D" w:themeColor="text2"/>
          <w:sz w:val="20"/>
          <w:szCs w:val="20"/>
        </w:rPr>
        <w:t xml:space="preserve"> skills, strengths, and interests.</w:t>
      </w:r>
      <w:r w:rsidR="00C56F82" w:rsidRPr="00674294">
        <w:rPr>
          <w:rFonts w:ascii="Arial" w:hAnsi="Arial" w:cs="Arial"/>
          <w:color w:val="1F497D" w:themeColor="text2"/>
          <w:sz w:val="20"/>
          <w:szCs w:val="20"/>
        </w:rPr>
        <w:tab/>
        <w:t xml:space="preserve">    </w:t>
      </w:r>
    </w:p>
    <w:p w14:paraId="6B480A53" w14:textId="77777777" w:rsidR="007B1DC9" w:rsidRPr="00674294" w:rsidRDefault="008541F1" w:rsidP="007B1DC9">
      <w:pPr>
        <w:rPr>
          <w:rFonts w:ascii="Arial" w:hAnsi="Arial" w:cs="Arial"/>
          <w:color w:val="1F497D" w:themeColor="text2"/>
          <w:sz w:val="20"/>
          <w:szCs w:val="20"/>
        </w:rPr>
      </w:pPr>
      <w:r w:rsidRPr="00674294">
        <w:rPr>
          <w:rFonts w:ascii="Arial" w:hAnsi="Arial" w:cs="Arial"/>
          <w:color w:val="1F497D" w:themeColor="text2"/>
          <w:sz w:val="20"/>
          <w:szCs w:val="20"/>
        </w:rPr>
        <w:t xml:space="preserve">Sharon </w:t>
      </w:r>
      <w:proofErr w:type="spellStart"/>
      <w:r w:rsidRPr="00674294">
        <w:rPr>
          <w:rFonts w:ascii="Arial" w:hAnsi="Arial" w:cs="Arial"/>
          <w:color w:val="1F497D" w:themeColor="text2"/>
          <w:sz w:val="20"/>
          <w:szCs w:val="20"/>
        </w:rPr>
        <w:t>Konyen</w:t>
      </w:r>
      <w:proofErr w:type="spellEnd"/>
      <w:r w:rsidRPr="00674294">
        <w:rPr>
          <w:rFonts w:ascii="Arial" w:hAnsi="Arial" w:cs="Arial"/>
          <w:color w:val="1F497D" w:themeColor="text2"/>
          <w:sz w:val="20"/>
          <w:szCs w:val="20"/>
        </w:rPr>
        <w:t>:</w:t>
      </w:r>
      <w:r w:rsidR="007B1DC9" w:rsidRPr="00674294">
        <w:rPr>
          <w:rFonts w:ascii="Arial" w:hAnsi="Arial" w:cs="Arial"/>
          <w:color w:val="1F497D" w:themeColor="text2"/>
          <w:sz w:val="20"/>
          <w:szCs w:val="20"/>
        </w:rPr>
        <w:t xml:space="preserve"> emphasis and focus is on learning about oneself through reflection and</w:t>
      </w:r>
    </w:p>
    <w:p w14:paraId="6B480A54" w14:textId="77777777" w:rsidR="007B1DC9" w:rsidRPr="00674294" w:rsidRDefault="007B1DC9" w:rsidP="007B1DC9">
      <w:pPr>
        <w:rPr>
          <w:rFonts w:ascii="Arial" w:hAnsi="Arial" w:cs="Arial"/>
          <w:color w:val="1F497D" w:themeColor="text2"/>
          <w:sz w:val="20"/>
          <w:szCs w:val="20"/>
        </w:rPr>
      </w:pPr>
      <w:r w:rsidRPr="00674294">
        <w:rPr>
          <w:rFonts w:ascii="Arial" w:hAnsi="Arial" w:cs="Arial"/>
          <w:color w:val="1F497D" w:themeColor="text2"/>
          <w:sz w:val="20"/>
          <w:szCs w:val="20"/>
        </w:rPr>
        <w:tab/>
      </w:r>
      <w:r w:rsidRPr="00674294">
        <w:rPr>
          <w:rFonts w:ascii="Arial" w:hAnsi="Arial" w:cs="Arial"/>
          <w:color w:val="1F497D" w:themeColor="text2"/>
          <w:sz w:val="20"/>
          <w:szCs w:val="20"/>
        </w:rPr>
        <w:tab/>
        <w:t xml:space="preserve"> interaction, gaining insight into and awareness of one's own strengths as well as growth </w:t>
      </w:r>
      <w:r w:rsidRPr="00674294">
        <w:rPr>
          <w:rFonts w:ascii="Arial" w:hAnsi="Arial" w:cs="Arial"/>
          <w:color w:val="1F497D" w:themeColor="text2"/>
          <w:sz w:val="20"/>
          <w:szCs w:val="20"/>
        </w:rPr>
        <w:tab/>
      </w:r>
      <w:r w:rsidRPr="00674294">
        <w:rPr>
          <w:rFonts w:ascii="Arial" w:hAnsi="Arial" w:cs="Arial"/>
          <w:color w:val="1F497D" w:themeColor="text2"/>
          <w:sz w:val="20"/>
          <w:szCs w:val="20"/>
        </w:rPr>
        <w:tab/>
      </w:r>
      <w:r w:rsidRPr="00674294">
        <w:rPr>
          <w:rFonts w:ascii="Arial" w:hAnsi="Arial" w:cs="Arial"/>
          <w:color w:val="1F497D" w:themeColor="text2"/>
          <w:sz w:val="20"/>
          <w:szCs w:val="20"/>
        </w:rPr>
        <w:tab/>
        <w:t xml:space="preserve"> areas, and exploring how those strengths and growth areas hinder and enhance one's </w:t>
      </w:r>
      <w:r w:rsidRPr="00674294">
        <w:rPr>
          <w:rFonts w:ascii="Arial" w:hAnsi="Arial" w:cs="Arial"/>
          <w:color w:val="1F497D" w:themeColor="text2"/>
          <w:sz w:val="20"/>
          <w:szCs w:val="20"/>
        </w:rPr>
        <w:tab/>
      </w:r>
      <w:r w:rsidRPr="00674294">
        <w:rPr>
          <w:rFonts w:ascii="Arial" w:hAnsi="Arial" w:cs="Arial"/>
          <w:color w:val="1F497D" w:themeColor="text2"/>
          <w:sz w:val="20"/>
          <w:szCs w:val="20"/>
        </w:rPr>
        <w:tab/>
      </w:r>
      <w:r w:rsidRPr="00674294">
        <w:rPr>
          <w:rFonts w:ascii="Arial" w:hAnsi="Arial" w:cs="Arial"/>
          <w:color w:val="1F497D" w:themeColor="text2"/>
          <w:sz w:val="20"/>
          <w:szCs w:val="20"/>
        </w:rPr>
        <w:tab/>
        <w:t xml:space="preserve"> spiritual care giving.</w:t>
      </w:r>
      <w:r w:rsidRPr="00674294">
        <w:rPr>
          <w:rFonts w:ascii="Tahoma" w:hAnsi="Tahoma" w:cs="Tahoma"/>
          <w:color w:val="1F497D" w:themeColor="text2"/>
          <w:sz w:val="20"/>
          <w:szCs w:val="20"/>
        </w:rPr>
        <w:t xml:space="preserve">  </w:t>
      </w:r>
      <w:r w:rsidR="008541F1" w:rsidRPr="00674294">
        <w:rPr>
          <w:rFonts w:ascii="Arial" w:hAnsi="Arial" w:cs="Arial"/>
          <w:color w:val="1F497D" w:themeColor="text2"/>
          <w:sz w:val="20"/>
          <w:szCs w:val="20"/>
        </w:rPr>
        <w:t xml:space="preserve">          </w:t>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r>
      <w:r w:rsidR="008541F1" w:rsidRPr="00674294">
        <w:rPr>
          <w:rFonts w:ascii="Arial" w:hAnsi="Arial" w:cs="Arial"/>
          <w:color w:val="1F497D" w:themeColor="text2"/>
          <w:sz w:val="20"/>
          <w:szCs w:val="20"/>
        </w:rPr>
        <w:tab/>
        <w:t xml:space="preserve">                  </w:t>
      </w:r>
    </w:p>
    <w:p w14:paraId="6B480A55" w14:textId="77777777" w:rsidR="007B1DC9" w:rsidRPr="00674294" w:rsidRDefault="007B1DC9" w:rsidP="007B1DC9">
      <w:pPr>
        <w:rPr>
          <w:rFonts w:ascii="Arial" w:hAnsi="Arial" w:cs="Arial"/>
          <w:color w:val="1F497D" w:themeColor="text2"/>
          <w:sz w:val="20"/>
          <w:szCs w:val="20"/>
        </w:rPr>
      </w:pPr>
    </w:p>
    <w:p w14:paraId="6B480A56" w14:textId="77777777" w:rsidR="007B1DC9" w:rsidRPr="00674294" w:rsidRDefault="008541F1" w:rsidP="007B1DC9">
      <w:pPr>
        <w:rPr>
          <w:rFonts w:ascii="Arial" w:hAnsi="Arial" w:cs="Arial"/>
          <w:color w:val="1F497D" w:themeColor="text2"/>
          <w:sz w:val="20"/>
          <w:szCs w:val="20"/>
          <w:lang w:val="en-CA"/>
        </w:rPr>
      </w:pPr>
      <w:r w:rsidRPr="00674294">
        <w:rPr>
          <w:rFonts w:ascii="Arial" w:hAnsi="Arial" w:cs="Arial"/>
          <w:color w:val="1F497D" w:themeColor="text2"/>
          <w:sz w:val="20"/>
          <w:szCs w:val="20"/>
        </w:rPr>
        <w:t>Linda Kuschnik:</w:t>
      </w:r>
      <w:r w:rsidRPr="00674294">
        <w:rPr>
          <w:rFonts w:ascii="Arial" w:hAnsi="Arial" w:cs="Arial"/>
          <w:color w:val="1F497D" w:themeColor="text2"/>
          <w:sz w:val="20"/>
          <w:szCs w:val="20"/>
        </w:rPr>
        <w:tab/>
      </w:r>
      <w:r w:rsidR="007B1DC9" w:rsidRPr="00674294">
        <w:rPr>
          <w:rFonts w:ascii="Arial" w:hAnsi="Arial" w:cs="Arial"/>
          <w:color w:val="1F497D" w:themeColor="text2"/>
          <w:sz w:val="20"/>
          <w:szCs w:val="20"/>
        </w:rPr>
        <w:t xml:space="preserve"> </w:t>
      </w:r>
      <w:r w:rsidR="007B1DC9" w:rsidRPr="00674294">
        <w:rPr>
          <w:rFonts w:ascii="Arial" w:hAnsi="Arial" w:cs="Arial"/>
          <w:color w:val="1F497D" w:themeColor="text2"/>
          <w:sz w:val="20"/>
          <w:szCs w:val="20"/>
          <w:lang w:val="en-CA"/>
        </w:rPr>
        <w:t xml:space="preserve">approach to learning and supervision is one of curiosity and striving to be open to the </w:t>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t xml:space="preserve">world around and within. Learning to reflect, ask deep questions and understand how the </w:t>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t xml:space="preserve">insights gained, impact the work of Spiritual Care and Counselling.  How we safely use </w:t>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r>
      <w:r w:rsidR="007B1DC9" w:rsidRPr="00674294">
        <w:rPr>
          <w:rFonts w:ascii="Arial" w:hAnsi="Arial" w:cs="Arial"/>
          <w:color w:val="1F497D" w:themeColor="text2"/>
          <w:sz w:val="20"/>
          <w:szCs w:val="20"/>
          <w:lang w:val="en-CA"/>
        </w:rPr>
        <w:tab/>
        <w:t>ourselves in relationship for care and healing.</w:t>
      </w:r>
    </w:p>
    <w:p w14:paraId="6B480A58" w14:textId="362F0B3C" w:rsidR="007B1DC9" w:rsidRPr="00674294" w:rsidRDefault="008541F1" w:rsidP="00674294">
      <w:pPr>
        <w:pStyle w:val="PlainText"/>
        <w:rPr>
          <w:rFonts w:ascii="Arial" w:hAnsi="Arial" w:cs="Arial"/>
          <w:color w:val="1F497D" w:themeColor="text2"/>
          <w:sz w:val="20"/>
          <w:szCs w:val="20"/>
        </w:rPr>
      </w:pPr>
      <w:r w:rsidRPr="00674294">
        <w:rPr>
          <w:rFonts w:ascii="Arial" w:hAnsi="Arial" w:cs="Arial"/>
          <w:color w:val="1F497D" w:themeColor="text2"/>
          <w:sz w:val="20"/>
          <w:szCs w:val="20"/>
        </w:rPr>
        <w:tab/>
      </w:r>
      <w:r w:rsidRPr="00674294">
        <w:rPr>
          <w:rFonts w:ascii="Arial" w:hAnsi="Arial" w:cs="Arial"/>
          <w:color w:val="1F497D" w:themeColor="text2"/>
          <w:sz w:val="20"/>
          <w:szCs w:val="20"/>
        </w:rPr>
        <w:tab/>
      </w:r>
      <w:r w:rsidRPr="00674294">
        <w:rPr>
          <w:rFonts w:ascii="Arial" w:hAnsi="Arial" w:cs="Arial"/>
          <w:color w:val="1F497D" w:themeColor="text2"/>
          <w:sz w:val="20"/>
          <w:szCs w:val="20"/>
        </w:rPr>
        <w:tab/>
      </w:r>
      <w:r w:rsidRPr="00674294">
        <w:rPr>
          <w:rFonts w:ascii="Arial" w:hAnsi="Arial" w:cs="Arial"/>
          <w:color w:val="1F497D" w:themeColor="text2"/>
          <w:sz w:val="20"/>
          <w:szCs w:val="20"/>
        </w:rPr>
        <w:tab/>
      </w:r>
      <w:r w:rsidRPr="00674294">
        <w:rPr>
          <w:rFonts w:ascii="Arial" w:hAnsi="Arial" w:cs="Arial"/>
          <w:color w:val="1F497D" w:themeColor="text2"/>
          <w:sz w:val="20"/>
          <w:szCs w:val="20"/>
        </w:rPr>
        <w:tab/>
        <w:t xml:space="preserve">                   </w:t>
      </w:r>
      <w:r w:rsidR="007B1DC9" w:rsidRPr="00674294">
        <w:rPr>
          <w:rFonts w:ascii="Arial" w:hAnsi="Arial" w:cs="Arial"/>
          <w:color w:val="1F497D" w:themeColor="text2"/>
          <w:sz w:val="20"/>
          <w:szCs w:val="20"/>
        </w:rPr>
        <w:tab/>
        <w:t xml:space="preserve"> </w:t>
      </w:r>
      <w:r w:rsidR="007B1DC9" w:rsidRPr="00674294">
        <w:rPr>
          <w:rFonts w:ascii="Arial" w:hAnsi="Arial" w:cs="Arial"/>
          <w:color w:val="1F497D" w:themeColor="text2"/>
          <w:sz w:val="20"/>
          <w:szCs w:val="20"/>
        </w:rPr>
        <w:tab/>
        <w:t xml:space="preserve">      </w:t>
      </w:r>
    </w:p>
    <w:p w14:paraId="6B480A59" w14:textId="77777777" w:rsidR="008541F1" w:rsidRPr="00674294" w:rsidRDefault="008541F1" w:rsidP="004F1A60">
      <w:pPr>
        <w:spacing w:after="107"/>
        <w:rPr>
          <w:rFonts w:ascii="Arial" w:hAnsi="Arial" w:cs="Arial"/>
          <w:color w:val="1F497D" w:themeColor="text2"/>
          <w:sz w:val="20"/>
          <w:szCs w:val="20"/>
          <w:lang w:eastAsia="en-CA"/>
        </w:rPr>
      </w:pPr>
    </w:p>
    <w:p w14:paraId="718A402F" w14:textId="62399520" w:rsidR="00310A64" w:rsidRDefault="00253B30" w:rsidP="00310A64">
      <w:pPr>
        <w:spacing w:before="100" w:beforeAutospacing="1" w:after="100" w:afterAutospacing="1"/>
        <w:rPr>
          <w:rFonts w:ascii="Arial" w:hAnsi="Arial" w:cs="Arial"/>
          <w:b/>
          <w:bCs/>
          <w:color w:val="1F497D" w:themeColor="text2"/>
          <w:sz w:val="20"/>
          <w:szCs w:val="20"/>
        </w:rPr>
      </w:pPr>
      <w:r w:rsidRPr="00674294">
        <w:rPr>
          <w:rFonts w:ascii="Arial" w:hAnsi="Arial" w:cs="Arial"/>
          <w:b/>
          <w:bCs/>
          <w:color w:val="1F497D" w:themeColor="text2"/>
          <w:sz w:val="20"/>
          <w:szCs w:val="20"/>
        </w:rPr>
        <w:t>Clinical Placements</w:t>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t xml:space="preserve">           </w:t>
      </w:r>
      <w:r w:rsidR="00310A64">
        <w:rPr>
          <w:rFonts w:ascii="Arial" w:hAnsi="Arial" w:cs="Arial"/>
          <w:bCs/>
          <w:color w:val="1F497D" w:themeColor="text2"/>
          <w:sz w:val="20"/>
          <w:szCs w:val="20"/>
        </w:rPr>
        <w:t>Residents are assigned to particular clinical units for the year, across all six sites of UHN, and become integrated members of the Interprofessional team. On-call coverage provides experience across the breadth of UHN, including specialty areas.</w:t>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r>
      <w:r w:rsidR="00310A64">
        <w:rPr>
          <w:rFonts w:ascii="Arial" w:hAnsi="Arial" w:cs="Arial"/>
          <w:b/>
          <w:bCs/>
          <w:color w:val="1F497D" w:themeColor="text2"/>
          <w:sz w:val="20"/>
          <w:szCs w:val="20"/>
        </w:rPr>
        <w:tab/>
        <w:t xml:space="preserve">                         </w:t>
      </w:r>
    </w:p>
    <w:p w14:paraId="6B480A66" w14:textId="69613562" w:rsidR="00253B30" w:rsidRPr="00674294" w:rsidRDefault="00253B30" w:rsidP="00310A64">
      <w:pPr>
        <w:spacing w:before="100" w:beforeAutospacing="1" w:after="100" w:afterAutospacing="1" w:line="270" w:lineRule="atLeast"/>
        <w:rPr>
          <w:rFonts w:ascii="Arial" w:hAnsi="Arial" w:cs="Arial"/>
          <w:b/>
          <w:bCs/>
          <w:color w:val="1F497D" w:themeColor="text2"/>
          <w:sz w:val="20"/>
          <w:szCs w:val="20"/>
        </w:rPr>
      </w:pPr>
      <w:r w:rsidRPr="00674294">
        <w:rPr>
          <w:rFonts w:ascii="Arial" w:hAnsi="Arial" w:cs="Arial"/>
          <w:b/>
          <w:bCs/>
          <w:color w:val="1F497D" w:themeColor="text2"/>
          <w:sz w:val="20"/>
          <w:szCs w:val="20"/>
        </w:rPr>
        <w:t>Admission Criteria</w:t>
      </w:r>
      <w:r w:rsidRPr="00674294">
        <w:rPr>
          <w:rFonts w:ascii="Arial" w:hAnsi="Arial" w:cs="Arial"/>
          <w:color w:val="1F497D" w:themeColor="text2"/>
          <w:sz w:val="20"/>
          <w:szCs w:val="20"/>
        </w:rPr>
        <w:br/>
        <w:t xml:space="preserve">Preference will be given to applicants who have completed at least one unit of CPE at the basic level. Persons must have completed one year or its equivalent of graduate studies in theology / religion from an educational institution accredited by the Association of Theological Schools (ATS) or the Council of Higher Education Accreditation (CHEA). These requirements are in keeping with CACS Handbook and requirements for the ‘Advanced’ education level. A screening and selection process includes a completed application, personal interview and references. </w:t>
      </w:r>
      <w:r w:rsidRPr="00674294">
        <w:rPr>
          <w:rFonts w:ascii="Arial" w:hAnsi="Arial" w:cs="Arial"/>
          <w:b/>
          <w:bCs/>
          <w:color w:val="1F497D" w:themeColor="text2"/>
          <w:sz w:val="20"/>
          <w:szCs w:val="20"/>
          <w:u w:val="single"/>
        </w:rPr>
        <w:t>There are four resident positions available</w:t>
      </w:r>
      <w:r w:rsidRPr="00674294">
        <w:rPr>
          <w:rFonts w:ascii="Arial" w:hAnsi="Arial" w:cs="Arial"/>
          <w:b/>
          <w:bCs/>
          <w:color w:val="1F497D" w:themeColor="text2"/>
          <w:sz w:val="20"/>
          <w:szCs w:val="20"/>
        </w:rPr>
        <w:t>.</w:t>
      </w:r>
    </w:p>
    <w:p w14:paraId="561AD141" w14:textId="77777777" w:rsidR="00310A64" w:rsidRDefault="00310A64" w:rsidP="00674294">
      <w:pPr>
        <w:pStyle w:val="NormalWeb"/>
        <w:spacing w:before="0" w:beforeAutospacing="0" w:after="0" w:afterAutospacing="0"/>
        <w:rPr>
          <w:rFonts w:ascii="Arial" w:hAnsi="Arial" w:cs="Arial"/>
          <w:b/>
          <w:color w:val="1F497D" w:themeColor="text2"/>
          <w:sz w:val="20"/>
          <w:szCs w:val="20"/>
          <w:lang w:val="en-CA"/>
        </w:rPr>
      </w:pPr>
    </w:p>
    <w:p w14:paraId="5DDA8247" w14:textId="77777777" w:rsidR="00310A64" w:rsidRDefault="00310A64" w:rsidP="00674294">
      <w:pPr>
        <w:pStyle w:val="NormalWeb"/>
        <w:spacing w:before="0" w:beforeAutospacing="0" w:after="0" w:afterAutospacing="0"/>
        <w:rPr>
          <w:rFonts w:ascii="Arial" w:hAnsi="Arial" w:cs="Arial"/>
          <w:b/>
          <w:color w:val="1F497D" w:themeColor="text2"/>
          <w:sz w:val="20"/>
          <w:szCs w:val="20"/>
          <w:lang w:val="en-CA"/>
        </w:rPr>
      </w:pPr>
    </w:p>
    <w:p w14:paraId="6B480A68" w14:textId="015B538C" w:rsidR="005B20F1" w:rsidRDefault="00310A64" w:rsidP="00674294">
      <w:pPr>
        <w:pStyle w:val="NormalWeb"/>
        <w:spacing w:before="0" w:beforeAutospacing="0" w:after="0" w:afterAutospacing="0"/>
        <w:rPr>
          <w:rFonts w:ascii="Arial" w:hAnsi="Arial" w:cs="Arial"/>
          <w:b/>
          <w:color w:val="1F497D" w:themeColor="text2"/>
          <w:sz w:val="20"/>
          <w:szCs w:val="20"/>
          <w:lang w:val="en-CA"/>
        </w:rPr>
      </w:pPr>
      <w:r>
        <w:rPr>
          <w:rFonts w:ascii="Arial" w:hAnsi="Arial" w:cs="Arial"/>
          <w:b/>
          <w:color w:val="1F497D" w:themeColor="text2"/>
          <w:sz w:val="20"/>
          <w:szCs w:val="20"/>
          <w:lang w:val="en-CA"/>
        </w:rPr>
        <w:t>Income</w:t>
      </w:r>
      <w:r w:rsidR="00674294">
        <w:rPr>
          <w:rFonts w:ascii="Arial" w:hAnsi="Arial" w:cs="Arial"/>
          <w:b/>
          <w:color w:val="1F497D" w:themeColor="text2"/>
          <w:sz w:val="20"/>
          <w:szCs w:val="20"/>
          <w:lang w:val="en-CA"/>
        </w:rPr>
        <w:t>:</w:t>
      </w:r>
    </w:p>
    <w:p w14:paraId="066E9AFF" w14:textId="5D6E6E54" w:rsidR="00674294" w:rsidRPr="00674294" w:rsidRDefault="00674294" w:rsidP="00674294">
      <w:pPr>
        <w:pStyle w:val="NormalWeb"/>
        <w:spacing w:before="0" w:beforeAutospacing="0" w:after="0" w:afterAutospacing="0"/>
        <w:rPr>
          <w:rFonts w:ascii="Arial" w:hAnsi="Arial" w:cs="Arial"/>
          <w:color w:val="1F497D" w:themeColor="text2"/>
          <w:sz w:val="20"/>
          <w:szCs w:val="20"/>
          <w:lang w:val="en-CA"/>
        </w:rPr>
      </w:pPr>
      <w:r>
        <w:rPr>
          <w:rFonts w:ascii="Arial" w:hAnsi="Arial" w:cs="Arial"/>
          <w:color w:val="1F497D" w:themeColor="text2"/>
          <w:sz w:val="20"/>
          <w:szCs w:val="20"/>
          <w:lang w:val="en-CA"/>
        </w:rPr>
        <w:t>Residents are considered casual employees and therefore eligible to earn income through their o</w:t>
      </w:r>
      <w:r w:rsidR="00310A64">
        <w:rPr>
          <w:rFonts w:ascii="Arial" w:hAnsi="Arial" w:cs="Arial"/>
          <w:color w:val="1F497D" w:themeColor="text2"/>
          <w:sz w:val="20"/>
          <w:szCs w:val="20"/>
          <w:lang w:val="en-CA"/>
        </w:rPr>
        <w:t>n-coverage. There is the possibility</w:t>
      </w:r>
      <w:r>
        <w:rPr>
          <w:rFonts w:ascii="Arial" w:hAnsi="Arial" w:cs="Arial"/>
          <w:color w:val="1F497D" w:themeColor="text2"/>
          <w:sz w:val="20"/>
          <w:szCs w:val="20"/>
          <w:lang w:val="en-CA"/>
        </w:rPr>
        <w:t xml:space="preserve"> to make between $15,000 and $17,000 over the course of the year.</w:t>
      </w:r>
    </w:p>
    <w:p w14:paraId="144C7C48" w14:textId="77777777" w:rsidR="00674294" w:rsidRDefault="00674294" w:rsidP="00861E0A">
      <w:pPr>
        <w:pStyle w:val="NormalWeb"/>
        <w:spacing w:before="0" w:beforeAutospacing="0" w:after="0" w:afterAutospacing="0"/>
        <w:rPr>
          <w:rFonts w:ascii="Arial" w:hAnsi="Arial" w:cs="Arial"/>
          <w:b/>
          <w:bCs/>
          <w:color w:val="1F497D" w:themeColor="text2"/>
          <w:sz w:val="20"/>
          <w:szCs w:val="20"/>
          <w:lang w:val="en-CA"/>
        </w:rPr>
      </w:pPr>
    </w:p>
    <w:p w14:paraId="6B480A6A" w14:textId="77777777" w:rsidR="00861E0A" w:rsidRPr="00674294" w:rsidRDefault="00861E0A" w:rsidP="00861E0A">
      <w:pPr>
        <w:pStyle w:val="NormalWeb"/>
        <w:spacing w:before="0" w:beforeAutospacing="0" w:after="0" w:afterAutospacing="0"/>
        <w:rPr>
          <w:rFonts w:ascii="Arial" w:hAnsi="Arial" w:cs="Arial"/>
          <w:b/>
          <w:bCs/>
          <w:color w:val="1F497D" w:themeColor="text2"/>
          <w:sz w:val="20"/>
          <w:szCs w:val="20"/>
          <w:lang w:val="en-CA"/>
        </w:rPr>
      </w:pPr>
      <w:r w:rsidRPr="00674294">
        <w:rPr>
          <w:rFonts w:ascii="Arial" w:hAnsi="Arial" w:cs="Arial"/>
          <w:b/>
          <w:bCs/>
          <w:color w:val="1F497D" w:themeColor="text2"/>
          <w:sz w:val="20"/>
          <w:szCs w:val="20"/>
          <w:lang w:val="en-CA"/>
        </w:rPr>
        <w:t>Applications</w:t>
      </w:r>
    </w:p>
    <w:p w14:paraId="6B480A6B" w14:textId="5B23B9FA" w:rsidR="00861E0A" w:rsidRPr="00674294" w:rsidRDefault="00861E0A" w:rsidP="00861E0A">
      <w:pPr>
        <w:pStyle w:val="NormalWeb"/>
        <w:spacing w:before="0" w:beforeAutospacing="0" w:after="0" w:afterAutospacing="0"/>
        <w:rPr>
          <w:rFonts w:ascii="Arial" w:hAnsi="Arial" w:cs="Arial"/>
          <w:color w:val="1F497D" w:themeColor="text2"/>
          <w:sz w:val="20"/>
          <w:szCs w:val="20"/>
          <w:lang w:val="en-CA"/>
        </w:rPr>
      </w:pPr>
      <w:r w:rsidRPr="00674294">
        <w:rPr>
          <w:rFonts w:ascii="Arial" w:hAnsi="Arial" w:cs="Arial"/>
          <w:color w:val="1F497D" w:themeColor="text2"/>
          <w:sz w:val="20"/>
          <w:szCs w:val="20"/>
          <w:lang w:val="en-CA"/>
        </w:rPr>
        <w:t xml:space="preserve">Applications are made on-line at </w:t>
      </w:r>
      <w:hyperlink r:id="rId8" w:history="1">
        <w:r w:rsidRPr="00674294">
          <w:rPr>
            <w:rStyle w:val="Hyperlink"/>
            <w:rFonts w:ascii="Arial" w:hAnsi="Arial" w:cs="Arial"/>
            <w:color w:val="1F497D" w:themeColor="text2"/>
            <w:sz w:val="20"/>
            <w:szCs w:val="20"/>
            <w:lang w:val="en-CA"/>
          </w:rPr>
          <w:t>http://www.cpe-toronto.ca/index.asp</w:t>
        </w:r>
      </w:hyperlink>
      <w:r w:rsidRPr="00674294">
        <w:rPr>
          <w:rFonts w:ascii="Arial" w:hAnsi="Arial" w:cs="Arial"/>
          <w:color w:val="1F497D" w:themeColor="text2"/>
          <w:sz w:val="20"/>
          <w:szCs w:val="20"/>
          <w:lang w:val="en-CA"/>
        </w:rPr>
        <w:t xml:space="preserve">  Students wishing to complete the entire year's residency shoul</w:t>
      </w:r>
      <w:r w:rsidR="00674294">
        <w:rPr>
          <w:rFonts w:ascii="Arial" w:hAnsi="Arial" w:cs="Arial"/>
          <w:color w:val="1F497D" w:themeColor="text2"/>
          <w:sz w:val="20"/>
          <w:szCs w:val="20"/>
          <w:lang w:val="en-CA"/>
        </w:rPr>
        <w:t>d apply concurrently to all three residency courses (I through III</w:t>
      </w:r>
      <w:r w:rsidRPr="00674294">
        <w:rPr>
          <w:rFonts w:ascii="Arial" w:hAnsi="Arial" w:cs="Arial"/>
          <w:color w:val="1F497D" w:themeColor="text2"/>
          <w:sz w:val="20"/>
          <w:szCs w:val="20"/>
          <w:lang w:val="en-CA"/>
        </w:rPr>
        <w:t>). Continuation in the programme is dependent upon successful completion of each separate unit.</w:t>
      </w:r>
    </w:p>
    <w:p w14:paraId="6B480A6C" w14:textId="77777777" w:rsidR="00861E0A" w:rsidRPr="00674294" w:rsidRDefault="00861E0A" w:rsidP="00861E0A">
      <w:pPr>
        <w:pStyle w:val="NormalWeb"/>
        <w:spacing w:before="0" w:beforeAutospacing="0" w:after="0" w:afterAutospacing="0"/>
        <w:rPr>
          <w:rFonts w:ascii="Arial" w:hAnsi="Arial" w:cs="Arial"/>
          <w:color w:val="1F497D" w:themeColor="text2"/>
          <w:sz w:val="20"/>
          <w:szCs w:val="20"/>
          <w:lang w:val="en-CA"/>
        </w:rPr>
      </w:pPr>
    </w:p>
    <w:p w14:paraId="6B480A6D" w14:textId="77777777" w:rsidR="005B20F1" w:rsidRPr="00674294" w:rsidRDefault="005B20F1" w:rsidP="00861E0A">
      <w:pPr>
        <w:pStyle w:val="NormalWeb"/>
        <w:spacing w:before="0" w:beforeAutospacing="0" w:after="0" w:afterAutospacing="0"/>
        <w:rPr>
          <w:rFonts w:ascii="Arial" w:hAnsi="Arial" w:cs="Arial"/>
          <w:color w:val="1F497D" w:themeColor="text2"/>
          <w:sz w:val="20"/>
          <w:szCs w:val="20"/>
          <w:lang w:val="en-CA"/>
        </w:rPr>
      </w:pPr>
    </w:p>
    <w:p w14:paraId="6B480A6E" w14:textId="43D574D3" w:rsidR="00861E0A" w:rsidRPr="00674294" w:rsidRDefault="00861E0A" w:rsidP="00861E0A">
      <w:pPr>
        <w:pStyle w:val="NormalWeb"/>
        <w:spacing w:before="0" w:beforeAutospacing="0" w:after="0" w:afterAutospacing="0"/>
        <w:rPr>
          <w:rFonts w:ascii="Arial" w:hAnsi="Arial" w:cs="Arial"/>
          <w:color w:val="1F497D" w:themeColor="text2"/>
          <w:sz w:val="20"/>
          <w:szCs w:val="20"/>
          <w:lang w:val="en-CA"/>
        </w:rPr>
      </w:pPr>
      <w:r w:rsidRPr="00674294">
        <w:rPr>
          <w:rFonts w:ascii="Arial" w:hAnsi="Arial" w:cs="Arial"/>
          <w:b/>
          <w:bCs/>
          <w:color w:val="1F497D" w:themeColor="text2"/>
          <w:sz w:val="20"/>
          <w:szCs w:val="20"/>
        </w:rPr>
        <w:lastRenderedPageBreak/>
        <w:t>Tuition</w:t>
      </w:r>
      <w:r w:rsidRPr="00674294">
        <w:rPr>
          <w:rFonts w:ascii="Arial" w:hAnsi="Arial" w:cs="Arial"/>
          <w:color w:val="1F497D" w:themeColor="text2"/>
          <w:sz w:val="20"/>
          <w:szCs w:val="20"/>
        </w:rPr>
        <w:br/>
      </w:r>
      <w:r w:rsidRPr="00674294">
        <w:rPr>
          <w:rFonts w:ascii="Arial" w:hAnsi="Arial" w:cs="Arial"/>
          <w:color w:val="1F497D" w:themeColor="text2"/>
          <w:sz w:val="20"/>
          <w:szCs w:val="20"/>
          <w:lang w:val="en-CA"/>
        </w:rPr>
        <w:t xml:space="preserve">All students enrolled in a CPE unit offered by a Toronto area CASC supervisor must register through a TST member college. Fees will be paid by the student to the member college through the registration system, ROSI. </w:t>
      </w:r>
    </w:p>
    <w:p w14:paraId="6B480A6F" w14:textId="77777777" w:rsidR="00861E0A" w:rsidRDefault="00861E0A" w:rsidP="00861E0A">
      <w:pPr>
        <w:pStyle w:val="NormalWeb"/>
        <w:spacing w:before="0" w:beforeAutospacing="0" w:after="0" w:afterAutospacing="0"/>
        <w:rPr>
          <w:rFonts w:ascii="Arial" w:hAnsi="Arial" w:cs="Arial"/>
          <w:color w:val="000099"/>
          <w:sz w:val="20"/>
          <w:szCs w:val="20"/>
          <w:lang w:val="en-CA"/>
        </w:rPr>
      </w:pPr>
    </w:p>
    <w:p w14:paraId="6B480A70" w14:textId="77777777" w:rsidR="00B77301" w:rsidRDefault="00B77301" w:rsidP="00861E0A">
      <w:pPr>
        <w:pStyle w:val="NormalWeb"/>
        <w:spacing w:before="0" w:beforeAutospacing="0" w:after="0" w:afterAutospacing="0"/>
        <w:rPr>
          <w:rFonts w:ascii="Arial" w:hAnsi="Arial" w:cs="Arial"/>
          <w:color w:val="000099"/>
          <w:sz w:val="20"/>
          <w:szCs w:val="20"/>
          <w:lang w:val="en-CA"/>
        </w:rPr>
      </w:pPr>
    </w:p>
    <w:p w14:paraId="6B480A71" w14:textId="77777777" w:rsidR="00B77301" w:rsidRDefault="00B77301" w:rsidP="00861E0A">
      <w:pPr>
        <w:pStyle w:val="NormalWeb"/>
        <w:spacing w:before="0" w:beforeAutospacing="0" w:after="0" w:afterAutospacing="0"/>
        <w:rPr>
          <w:rFonts w:ascii="Arial" w:hAnsi="Arial" w:cs="Arial"/>
          <w:color w:val="000099"/>
          <w:sz w:val="20"/>
          <w:szCs w:val="20"/>
          <w:lang w:val="en-CA"/>
        </w:rPr>
      </w:pPr>
    </w:p>
    <w:p w14:paraId="6B480A72" w14:textId="77777777" w:rsidR="00861E0A" w:rsidRPr="0016425C" w:rsidRDefault="00861E0A" w:rsidP="00861E0A">
      <w:pPr>
        <w:pStyle w:val="NormalWeb"/>
        <w:spacing w:before="0" w:beforeAutospacing="0" w:after="0" w:afterAutospacing="0"/>
        <w:rPr>
          <w:rFonts w:ascii="Arial" w:hAnsi="Arial" w:cs="Arial"/>
          <w:b/>
          <w:bCs/>
          <w:color w:val="000099"/>
          <w:sz w:val="20"/>
          <w:szCs w:val="20"/>
          <w:lang w:val="en-CA"/>
        </w:rPr>
      </w:pPr>
    </w:p>
    <w:p w14:paraId="6B480A73" w14:textId="77777777" w:rsidR="00861E0A" w:rsidRPr="0016425C" w:rsidRDefault="00861E0A" w:rsidP="00861E0A">
      <w:pPr>
        <w:autoSpaceDE w:val="0"/>
        <w:autoSpaceDN w:val="0"/>
        <w:adjustRightInd w:val="0"/>
        <w:rPr>
          <w:rFonts w:ascii="Arial" w:hAnsi="Arial" w:cs="Arial"/>
          <w:b/>
          <w:bCs/>
          <w:sz w:val="20"/>
          <w:szCs w:val="20"/>
        </w:rPr>
      </w:pPr>
    </w:p>
    <w:sectPr w:rsidR="00861E0A" w:rsidRPr="001642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B2A7" w14:textId="77777777" w:rsidR="008F5D2F" w:rsidRDefault="008F5D2F" w:rsidP="00861E0A">
      <w:r>
        <w:separator/>
      </w:r>
    </w:p>
  </w:endnote>
  <w:endnote w:type="continuationSeparator" w:id="0">
    <w:p w14:paraId="424CD35E" w14:textId="77777777" w:rsidR="008F5D2F" w:rsidRDefault="008F5D2F" w:rsidP="0086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A7A" w14:textId="77777777" w:rsidR="00CF4800" w:rsidRDefault="00CF4800">
    <w:pPr>
      <w:pStyle w:val="Footer"/>
    </w:pPr>
    <w:r>
      <w:rPr>
        <w:noProof/>
      </w:rPr>
      <w:drawing>
        <wp:anchor distT="0" distB="0" distL="114300" distR="114300" simplePos="0" relativeHeight="251658240" behindDoc="1" locked="0" layoutInCell="1" allowOverlap="1" wp14:anchorId="6B480A7B" wp14:editId="6B480A7C">
          <wp:simplePos x="0" y="0"/>
          <wp:positionH relativeFrom="column">
            <wp:posOffset>0</wp:posOffset>
          </wp:positionH>
          <wp:positionV relativeFrom="paragraph">
            <wp:posOffset>3800475</wp:posOffset>
          </wp:positionV>
          <wp:extent cx="8343900" cy="6257925"/>
          <wp:effectExtent l="0" t="0" r="0" b="9525"/>
          <wp:wrapTight wrapText="bothSides">
            <wp:wrapPolygon edited="0">
              <wp:start x="21205" y="18477"/>
              <wp:lineTo x="19923" y="18674"/>
              <wp:lineTo x="15682" y="19463"/>
              <wp:lineTo x="14499" y="20055"/>
              <wp:lineTo x="12921" y="20647"/>
              <wp:lineTo x="11244" y="21567"/>
              <wp:lineTo x="21551" y="21567"/>
              <wp:lineTo x="21551" y="18477"/>
              <wp:lineTo x="21205" y="18477"/>
            </wp:wrapPolygon>
          </wp:wrapTight>
          <wp:docPr id="1" name="Picture 1" descr="bottom-piece-fo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piece-for-P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34D3" w14:textId="77777777" w:rsidR="008F5D2F" w:rsidRDefault="008F5D2F" w:rsidP="00861E0A">
      <w:r>
        <w:separator/>
      </w:r>
    </w:p>
  </w:footnote>
  <w:footnote w:type="continuationSeparator" w:id="0">
    <w:p w14:paraId="4CB32167" w14:textId="77777777" w:rsidR="008F5D2F" w:rsidRDefault="008F5D2F" w:rsidP="0086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5B1B"/>
    <w:multiLevelType w:val="multilevel"/>
    <w:tmpl w:val="BF30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5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E0A"/>
    <w:rsid w:val="0008087D"/>
    <w:rsid w:val="00153E5B"/>
    <w:rsid w:val="00253B30"/>
    <w:rsid w:val="00283FEF"/>
    <w:rsid w:val="002D566F"/>
    <w:rsid w:val="00310A64"/>
    <w:rsid w:val="0035697B"/>
    <w:rsid w:val="004F1A60"/>
    <w:rsid w:val="005B20F1"/>
    <w:rsid w:val="0066285B"/>
    <w:rsid w:val="00674294"/>
    <w:rsid w:val="007B1DC9"/>
    <w:rsid w:val="008541F1"/>
    <w:rsid w:val="00861E0A"/>
    <w:rsid w:val="00862F43"/>
    <w:rsid w:val="008F5D2F"/>
    <w:rsid w:val="00980B57"/>
    <w:rsid w:val="00980E35"/>
    <w:rsid w:val="00997DD2"/>
    <w:rsid w:val="00A060C2"/>
    <w:rsid w:val="00A678DF"/>
    <w:rsid w:val="00A80B74"/>
    <w:rsid w:val="00AF2AA8"/>
    <w:rsid w:val="00B77301"/>
    <w:rsid w:val="00C56F82"/>
    <w:rsid w:val="00CF4800"/>
    <w:rsid w:val="00DE4553"/>
    <w:rsid w:val="00DF67F7"/>
    <w:rsid w:val="00E74B79"/>
    <w:rsid w:val="00F04293"/>
    <w:rsid w:val="00F8085E"/>
    <w:rsid w:val="00FB03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80A32"/>
  <w15:docId w15:val="{ABEB78EF-59A3-4796-8044-8A8EF2EC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0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1E0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E0A"/>
    <w:rPr>
      <w:rFonts w:asciiTheme="majorHAnsi" w:eastAsiaTheme="majorEastAsia" w:hAnsiTheme="majorHAnsi" w:cstheme="majorBidi"/>
      <w:b/>
      <w:bCs/>
      <w:kern w:val="32"/>
      <w:sz w:val="32"/>
      <w:szCs w:val="32"/>
    </w:rPr>
  </w:style>
  <w:style w:type="character" w:styleId="Hyperlink">
    <w:name w:val="Hyperlink"/>
    <w:rsid w:val="00861E0A"/>
    <w:rPr>
      <w:color w:val="0000FF"/>
      <w:u w:val="single"/>
    </w:rPr>
  </w:style>
  <w:style w:type="paragraph" w:styleId="NormalWeb">
    <w:name w:val="Normal (Web)"/>
    <w:basedOn w:val="Normal"/>
    <w:uiPriority w:val="99"/>
    <w:rsid w:val="00861E0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unhideWhenUsed/>
    <w:rsid w:val="00861E0A"/>
    <w:pPr>
      <w:spacing w:after="240"/>
      <w:jc w:val="both"/>
    </w:pPr>
    <w:rPr>
      <w:rFonts w:ascii="Garamond" w:eastAsia="Calibri" w:hAnsi="Garamond"/>
      <w:spacing w:val="-5"/>
    </w:rPr>
  </w:style>
  <w:style w:type="character" w:customStyle="1" w:styleId="BodyTextChar">
    <w:name w:val="Body Text Char"/>
    <w:basedOn w:val="DefaultParagraphFont"/>
    <w:link w:val="BodyText"/>
    <w:uiPriority w:val="99"/>
    <w:rsid w:val="00861E0A"/>
    <w:rPr>
      <w:rFonts w:ascii="Garamond" w:eastAsia="Calibri" w:hAnsi="Garamond" w:cs="Times New Roman"/>
      <w:spacing w:val="-5"/>
      <w:sz w:val="24"/>
      <w:szCs w:val="24"/>
    </w:rPr>
  </w:style>
  <w:style w:type="paragraph" w:styleId="Header">
    <w:name w:val="header"/>
    <w:basedOn w:val="Normal"/>
    <w:link w:val="HeaderChar"/>
    <w:uiPriority w:val="99"/>
    <w:unhideWhenUsed/>
    <w:rsid w:val="00861E0A"/>
    <w:pPr>
      <w:tabs>
        <w:tab w:val="center" w:pos="4680"/>
        <w:tab w:val="right" w:pos="9360"/>
      </w:tabs>
    </w:pPr>
  </w:style>
  <w:style w:type="character" w:customStyle="1" w:styleId="HeaderChar">
    <w:name w:val="Header Char"/>
    <w:basedOn w:val="DefaultParagraphFont"/>
    <w:link w:val="Header"/>
    <w:uiPriority w:val="99"/>
    <w:rsid w:val="00861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E0A"/>
    <w:pPr>
      <w:tabs>
        <w:tab w:val="center" w:pos="4680"/>
        <w:tab w:val="right" w:pos="9360"/>
      </w:tabs>
    </w:pPr>
  </w:style>
  <w:style w:type="character" w:customStyle="1" w:styleId="FooterChar">
    <w:name w:val="Footer Char"/>
    <w:basedOn w:val="DefaultParagraphFont"/>
    <w:link w:val="Footer"/>
    <w:uiPriority w:val="99"/>
    <w:rsid w:val="00861E0A"/>
    <w:rPr>
      <w:rFonts w:ascii="Times New Roman" w:eastAsia="Times New Roman" w:hAnsi="Times New Roman" w:cs="Times New Roman"/>
      <w:sz w:val="24"/>
      <w:szCs w:val="24"/>
    </w:rPr>
  </w:style>
  <w:style w:type="paragraph" w:styleId="ListParagraph">
    <w:name w:val="List Paragraph"/>
    <w:basedOn w:val="Normal"/>
    <w:uiPriority w:val="34"/>
    <w:qFormat/>
    <w:rsid w:val="00153E5B"/>
    <w:pPr>
      <w:ind w:left="720"/>
      <w:contextualSpacing/>
    </w:pPr>
  </w:style>
  <w:style w:type="character" w:customStyle="1" w:styleId="info1">
    <w:name w:val="info1"/>
    <w:basedOn w:val="DefaultParagraphFont"/>
    <w:rsid w:val="004F1A60"/>
    <w:rPr>
      <w:rFonts w:ascii="Arial" w:hAnsi="Arial" w:cs="Arial" w:hint="default"/>
      <w:sz w:val="20"/>
      <w:szCs w:val="20"/>
    </w:rPr>
  </w:style>
  <w:style w:type="paragraph" w:styleId="PlainText">
    <w:name w:val="Plain Text"/>
    <w:basedOn w:val="Normal"/>
    <w:link w:val="PlainTextChar"/>
    <w:uiPriority w:val="99"/>
    <w:unhideWhenUsed/>
    <w:rsid w:val="007B1DC9"/>
    <w:rPr>
      <w:rFonts w:ascii="Calibri" w:eastAsiaTheme="minorHAnsi" w:hAnsi="Calibri" w:cstheme="minorBidi"/>
      <w:color w:val="000080"/>
      <w:sz w:val="22"/>
      <w:szCs w:val="22"/>
    </w:rPr>
  </w:style>
  <w:style w:type="character" w:customStyle="1" w:styleId="PlainTextChar">
    <w:name w:val="Plain Text Char"/>
    <w:basedOn w:val="DefaultParagraphFont"/>
    <w:link w:val="PlainText"/>
    <w:uiPriority w:val="99"/>
    <w:rsid w:val="007B1DC9"/>
    <w:rPr>
      <w:rFonts w:ascii="Calibri" w:hAnsi="Calibri"/>
      <w:color w:val="000080"/>
    </w:rPr>
  </w:style>
  <w:style w:type="paragraph" w:styleId="BalloonText">
    <w:name w:val="Balloon Text"/>
    <w:basedOn w:val="Normal"/>
    <w:link w:val="BalloonTextChar"/>
    <w:uiPriority w:val="99"/>
    <w:semiHidden/>
    <w:unhideWhenUsed/>
    <w:rsid w:val="00310A64"/>
    <w:rPr>
      <w:rFonts w:ascii="Tahoma" w:hAnsi="Tahoma" w:cs="Tahoma"/>
      <w:sz w:val="16"/>
      <w:szCs w:val="16"/>
    </w:rPr>
  </w:style>
  <w:style w:type="character" w:customStyle="1" w:styleId="BalloonTextChar">
    <w:name w:val="Balloon Text Char"/>
    <w:basedOn w:val="DefaultParagraphFont"/>
    <w:link w:val="BalloonText"/>
    <w:uiPriority w:val="99"/>
    <w:semiHidden/>
    <w:rsid w:val="00310A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8382">
      <w:bodyDiv w:val="1"/>
      <w:marLeft w:val="0"/>
      <w:marRight w:val="0"/>
      <w:marTop w:val="0"/>
      <w:marBottom w:val="0"/>
      <w:divBdr>
        <w:top w:val="none" w:sz="0" w:space="0" w:color="auto"/>
        <w:left w:val="none" w:sz="0" w:space="0" w:color="auto"/>
        <w:bottom w:val="none" w:sz="0" w:space="0" w:color="auto"/>
        <w:right w:val="none" w:sz="0" w:space="0" w:color="auto"/>
      </w:divBdr>
    </w:div>
    <w:div w:id="381708207">
      <w:bodyDiv w:val="1"/>
      <w:marLeft w:val="0"/>
      <w:marRight w:val="0"/>
      <w:marTop w:val="0"/>
      <w:marBottom w:val="0"/>
      <w:divBdr>
        <w:top w:val="none" w:sz="0" w:space="0" w:color="auto"/>
        <w:left w:val="none" w:sz="0" w:space="0" w:color="auto"/>
        <w:bottom w:val="none" w:sz="0" w:space="0" w:color="auto"/>
        <w:right w:val="none" w:sz="0" w:space="0" w:color="auto"/>
      </w:divBdr>
    </w:div>
    <w:div w:id="584998913">
      <w:bodyDiv w:val="1"/>
      <w:marLeft w:val="0"/>
      <w:marRight w:val="0"/>
      <w:marTop w:val="0"/>
      <w:marBottom w:val="0"/>
      <w:divBdr>
        <w:top w:val="none" w:sz="0" w:space="0" w:color="auto"/>
        <w:left w:val="none" w:sz="0" w:space="0" w:color="auto"/>
        <w:bottom w:val="none" w:sz="0" w:space="0" w:color="auto"/>
        <w:right w:val="none" w:sz="0" w:space="0" w:color="auto"/>
      </w:divBdr>
    </w:div>
    <w:div w:id="1697652090">
      <w:bodyDiv w:val="1"/>
      <w:marLeft w:val="0"/>
      <w:marRight w:val="0"/>
      <w:marTop w:val="0"/>
      <w:marBottom w:val="0"/>
      <w:divBdr>
        <w:top w:val="none" w:sz="0" w:space="0" w:color="auto"/>
        <w:left w:val="none" w:sz="0" w:space="0" w:color="auto"/>
        <w:bottom w:val="none" w:sz="0" w:space="0" w:color="auto"/>
        <w:right w:val="none" w:sz="0" w:space="0" w:color="auto"/>
      </w:divBdr>
    </w:div>
    <w:div w:id="18078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e-toronto.ca/index.as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Doucet, Marc</dc:creator>
  <cp:lastModifiedBy>Tim Frymire</cp:lastModifiedBy>
  <cp:revision>3</cp:revision>
  <cp:lastPrinted>2017-09-06T12:37:00Z</cp:lastPrinted>
  <dcterms:created xsi:type="dcterms:W3CDTF">2023-05-12T16:52:00Z</dcterms:created>
  <dcterms:modified xsi:type="dcterms:W3CDTF">2023-05-12T16:53:00Z</dcterms:modified>
</cp:coreProperties>
</file>