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25E6" w14:textId="77777777" w:rsidR="00BE57B9" w:rsidRDefault="0000000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7C54F3" wp14:editId="23D39E02">
            <wp:extent cx="1894470" cy="5166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47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E743" w14:textId="77777777" w:rsidR="00BE57B9" w:rsidRDefault="00BE57B9">
      <w:pPr>
        <w:pStyle w:val="BodyText"/>
        <w:rPr>
          <w:rFonts w:ascii="Times New Roman"/>
          <w:sz w:val="32"/>
        </w:rPr>
      </w:pPr>
    </w:p>
    <w:p w14:paraId="0633AED0" w14:textId="77777777" w:rsidR="00BE57B9" w:rsidRDefault="00BE57B9">
      <w:pPr>
        <w:pStyle w:val="BodyText"/>
        <w:spacing w:before="279"/>
        <w:rPr>
          <w:rFonts w:ascii="Times New Roman"/>
          <w:sz w:val="32"/>
        </w:rPr>
      </w:pPr>
    </w:p>
    <w:p w14:paraId="07C62141" w14:textId="77777777" w:rsidR="00BE57B9" w:rsidRDefault="00000000">
      <w:pPr>
        <w:pStyle w:val="Title"/>
      </w:pPr>
      <w:r>
        <w:rPr>
          <w:color w:val="528DD2"/>
          <w:spacing w:val="-12"/>
        </w:rPr>
        <w:t>Clinical</w:t>
      </w:r>
      <w:r>
        <w:rPr>
          <w:color w:val="528DD2"/>
          <w:spacing w:val="-8"/>
        </w:rPr>
        <w:t xml:space="preserve"> </w:t>
      </w:r>
      <w:r>
        <w:rPr>
          <w:color w:val="528DD2"/>
          <w:spacing w:val="-12"/>
        </w:rPr>
        <w:t>Psychospiritual</w:t>
      </w:r>
      <w:r>
        <w:rPr>
          <w:color w:val="528DD2"/>
          <w:spacing w:val="-7"/>
        </w:rPr>
        <w:t xml:space="preserve"> </w:t>
      </w:r>
      <w:r>
        <w:rPr>
          <w:color w:val="528DD2"/>
          <w:spacing w:val="-12"/>
        </w:rPr>
        <w:t>Education</w:t>
      </w:r>
      <w:r>
        <w:rPr>
          <w:color w:val="528DD2"/>
          <w:spacing w:val="-8"/>
        </w:rPr>
        <w:t xml:space="preserve"> </w:t>
      </w:r>
      <w:r>
        <w:rPr>
          <w:color w:val="528DD2"/>
          <w:spacing w:val="-12"/>
        </w:rPr>
        <w:t>(CPE)</w:t>
      </w:r>
      <w:r>
        <w:rPr>
          <w:color w:val="528DD2"/>
          <w:spacing w:val="-7"/>
        </w:rPr>
        <w:t xml:space="preserve"> </w:t>
      </w:r>
      <w:r>
        <w:rPr>
          <w:color w:val="528DD2"/>
          <w:spacing w:val="-12"/>
        </w:rPr>
        <w:t>at</w:t>
      </w:r>
      <w:r>
        <w:rPr>
          <w:color w:val="528DD2"/>
          <w:spacing w:val="-10"/>
        </w:rPr>
        <w:t xml:space="preserve"> </w:t>
      </w:r>
      <w:r>
        <w:rPr>
          <w:color w:val="528DD2"/>
          <w:spacing w:val="-12"/>
        </w:rPr>
        <w:t>Providence</w:t>
      </w:r>
      <w:r>
        <w:rPr>
          <w:color w:val="528DD2"/>
          <w:spacing w:val="-8"/>
        </w:rPr>
        <w:t xml:space="preserve"> </w:t>
      </w:r>
      <w:r>
        <w:rPr>
          <w:color w:val="528DD2"/>
          <w:spacing w:val="-12"/>
        </w:rPr>
        <w:t>Health</w:t>
      </w:r>
      <w:r>
        <w:rPr>
          <w:color w:val="528DD2"/>
          <w:spacing w:val="-26"/>
        </w:rPr>
        <w:t xml:space="preserve"> </w:t>
      </w:r>
      <w:r>
        <w:rPr>
          <w:color w:val="528DD2"/>
          <w:spacing w:val="-12"/>
        </w:rPr>
        <w:t>Care</w:t>
      </w:r>
    </w:p>
    <w:p w14:paraId="56F67D39" w14:textId="77777777" w:rsidR="00BE57B9" w:rsidRDefault="00BE57B9">
      <w:pPr>
        <w:pStyle w:val="BodyText"/>
        <w:spacing w:before="84"/>
        <w:rPr>
          <w:b/>
          <w:sz w:val="32"/>
        </w:rPr>
      </w:pPr>
    </w:p>
    <w:p w14:paraId="492EDFE7" w14:textId="77777777" w:rsidR="00BE57B9" w:rsidRDefault="00000000">
      <w:pPr>
        <w:pStyle w:val="Heading1"/>
        <w:spacing w:before="1"/>
      </w:pPr>
      <w:r>
        <w:rPr>
          <w:color w:val="528DD2"/>
        </w:rPr>
        <w:t>Spiritual</w:t>
      </w:r>
      <w:r>
        <w:rPr>
          <w:color w:val="528DD2"/>
          <w:spacing w:val="-4"/>
        </w:rPr>
        <w:t xml:space="preserve"> Care</w:t>
      </w:r>
    </w:p>
    <w:p w14:paraId="265085D9" w14:textId="77777777" w:rsidR="00BE57B9" w:rsidRDefault="00BE57B9">
      <w:pPr>
        <w:pStyle w:val="BodyText"/>
        <w:spacing w:before="57"/>
        <w:rPr>
          <w:b/>
        </w:rPr>
      </w:pPr>
    </w:p>
    <w:p w14:paraId="7A2BA301" w14:textId="77777777" w:rsidR="00BE57B9" w:rsidRDefault="00000000">
      <w:pPr>
        <w:pStyle w:val="BodyText"/>
        <w:ind w:left="2370"/>
        <w:jc w:val="both"/>
      </w:pPr>
      <w:r>
        <w:t>Spiritual</w:t>
      </w:r>
      <w:r>
        <w:rPr>
          <w:spacing w:val="-6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embraces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holistic</w:t>
      </w:r>
      <w:r>
        <w:rPr>
          <w:spacing w:val="-2"/>
        </w:rPr>
        <w:t xml:space="preserve"> </w:t>
      </w:r>
      <w:r>
        <w:t>approach,</w:t>
      </w:r>
      <w:r>
        <w:rPr>
          <w:spacing w:val="-4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an</w:t>
      </w:r>
    </w:p>
    <w:p w14:paraId="77196102" w14:textId="77777777" w:rsidR="00BE57B9" w:rsidRDefault="00000000">
      <w:pPr>
        <w:pStyle w:val="BodyText"/>
        <w:spacing w:before="55" w:line="285" w:lineRule="auto"/>
        <w:ind w:left="2375" w:right="1986"/>
        <w:jc w:val="both"/>
      </w:pPr>
      <w:r>
        <w:t xml:space="preserve">individual’s beliefs, values, </w:t>
      </w:r>
      <w:proofErr w:type="gramStart"/>
      <w:r>
        <w:t>behaviors</w:t>
      </w:r>
      <w:proofErr w:type="gramEnd"/>
      <w:r>
        <w:t xml:space="preserve"> and experiences related to spirituality, religion, culture and/or</w:t>
      </w:r>
      <w:r>
        <w:rPr>
          <w:spacing w:val="-1"/>
        </w:rPr>
        <w:t xml:space="preserve"> </w:t>
      </w:r>
      <w:r>
        <w:t>transcendence in an effort to develop</w:t>
      </w:r>
      <w:r>
        <w:rPr>
          <w:spacing w:val="-6"/>
        </w:rPr>
        <w:t xml:space="preserve"> </w:t>
      </w:r>
      <w:r>
        <w:t>relatedness,</w:t>
      </w:r>
      <w:r>
        <w:rPr>
          <w:spacing w:val="-5"/>
        </w:rPr>
        <w:t xml:space="preserve"> </w:t>
      </w:r>
      <w:r>
        <w:t>wholeness,</w:t>
      </w:r>
      <w:r>
        <w:rPr>
          <w:spacing w:val="-4"/>
        </w:rPr>
        <w:t xml:space="preserve"> </w:t>
      </w:r>
      <w:r>
        <w:t>healing,</w:t>
      </w:r>
      <w:r>
        <w:rPr>
          <w:spacing w:val="-5"/>
        </w:rPr>
        <w:t xml:space="preserve"> </w:t>
      </w:r>
      <w:r>
        <w:t>meaning,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purpose.</w:t>
      </w:r>
    </w:p>
    <w:p w14:paraId="23AB8F7A" w14:textId="77777777" w:rsidR="00BE57B9" w:rsidRDefault="00000000">
      <w:pPr>
        <w:pStyle w:val="Heading1"/>
        <w:spacing w:before="195"/>
      </w:pPr>
      <w:r>
        <w:rPr>
          <w:color w:val="528DD2"/>
        </w:rPr>
        <w:t>What</w:t>
      </w:r>
      <w:r>
        <w:rPr>
          <w:color w:val="528DD2"/>
          <w:spacing w:val="-3"/>
        </w:rPr>
        <w:t xml:space="preserve"> </w:t>
      </w:r>
      <w:r>
        <w:rPr>
          <w:color w:val="528DD2"/>
        </w:rPr>
        <w:t>is</w:t>
      </w:r>
      <w:r>
        <w:rPr>
          <w:color w:val="528DD2"/>
          <w:spacing w:val="-1"/>
        </w:rPr>
        <w:t xml:space="preserve"> </w:t>
      </w:r>
      <w:r>
        <w:rPr>
          <w:color w:val="528DD2"/>
          <w:spacing w:val="-4"/>
        </w:rPr>
        <w:t>CPE?</w:t>
      </w:r>
    </w:p>
    <w:p w14:paraId="07ABF7A4" w14:textId="77777777" w:rsidR="00BE57B9" w:rsidRDefault="00BE57B9">
      <w:pPr>
        <w:pStyle w:val="BodyText"/>
        <w:spacing w:before="67"/>
        <w:rPr>
          <w:b/>
        </w:rPr>
      </w:pPr>
    </w:p>
    <w:p w14:paraId="6B480A85" w14:textId="77777777" w:rsidR="00BE57B9" w:rsidRDefault="00000000">
      <w:pPr>
        <w:pStyle w:val="BodyText"/>
        <w:spacing w:line="285" w:lineRule="auto"/>
        <w:ind w:left="2375" w:right="1399" w:hanging="5"/>
      </w:pPr>
      <w:r>
        <w:t>Units of Clinical Psychospiritual Education (CPE) offer 200 hours of supervised practice within a variety of settings (health care, prisons, congregations) for individuals, their families, and friends who are experiencing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crisis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spiritual</w:t>
      </w:r>
      <w:r>
        <w:rPr>
          <w:spacing w:val="-5"/>
        </w:rPr>
        <w:t xml:space="preserve"> </w:t>
      </w:r>
      <w:r>
        <w:t>distress.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remaining 200 hours include: peer and group supervision, case study presentations, individual supervision, and other structured learning activities (seminars, didactics, role plays, skill integration exercises).</w:t>
      </w:r>
    </w:p>
    <w:p w14:paraId="45C87625" w14:textId="77777777" w:rsidR="00BE57B9" w:rsidRDefault="00000000">
      <w:pPr>
        <w:pStyle w:val="BodyText"/>
        <w:spacing w:line="285" w:lineRule="auto"/>
        <w:ind w:left="2375" w:right="1399"/>
      </w:pPr>
      <w:r>
        <w:t>Written assignments allow participants to integrate foundational theories (psychological, sociological, theological/religious, and spiritual)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competencies</w:t>
      </w:r>
      <w:r>
        <w:rPr>
          <w:spacing w:val="-2"/>
        </w:rPr>
        <w:t xml:space="preserve"> </w:t>
      </w:r>
      <w:r>
        <w:t>related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facilitation of healing, the safe and effective use of self, the building of collegial and</w:t>
      </w:r>
      <w:r>
        <w:rPr>
          <w:spacing w:val="-6"/>
        </w:rPr>
        <w:t xml:space="preserve"> </w:t>
      </w:r>
      <w:r>
        <w:t>inter-professional</w:t>
      </w:r>
      <w:r>
        <w:rPr>
          <w:spacing w:val="-7"/>
        </w:rPr>
        <w:t xml:space="preserve"> </w:t>
      </w:r>
      <w:r>
        <w:t>relationships,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professional responsibilities, and the assimilation of recent and relevant research.</w:t>
      </w:r>
    </w:p>
    <w:p w14:paraId="36693D96" w14:textId="77777777" w:rsidR="00BE57B9" w:rsidRDefault="00000000">
      <w:pPr>
        <w:pStyle w:val="Heading1"/>
        <w:spacing w:before="184"/>
      </w:pPr>
      <w:r>
        <w:rPr>
          <w:color w:val="528DD2"/>
        </w:rPr>
        <w:t>What</w:t>
      </w:r>
      <w:r>
        <w:rPr>
          <w:color w:val="528DD2"/>
          <w:spacing w:val="-1"/>
        </w:rPr>
        <w:t xml:space="preserve"> </w:t>
      </w:r>
      <w:r>
        <w:rPr>
          <w:color w:val="528DD2"/>
        </w:rPr>
        <w:t>is</w:t>
      </w:r>
      <w:r>
        <w:rPr>
          <w:color w:val="528DD2"/>
          <w:spacing w:val="-1"/>
        </w:rPr>
        <w:t xml:space="preserve"> </w:t>
      </w:r>
      <w:r>
        <w:rPr>
          <w:color w:val="528DD2"/>
        </w:rPr>
        <w:t>a</w:t>
      </w:r>
      <w:r>
        <w:rPr>
          <w:color w:val="528DD2"/>
          <w:spacing w:val="-1"/>
        </w:rPr>
        <w:t xml:space="preserve"> </w:t>
      </w:r>
      <w:r>
        <w:rPr>
          <w:color w:val="528DD2"/>
          <w:spacing w:val="-2"/>
        </w:rPr>
        <w:t>Residency?</w:t>
      </w:r>
    </w:p>
    <w:p w14:paraId="7E6C7CA7" w14:textId="77777777" w:rsidR="00BE57B9" w:rsidRDefault="00BE57B9">
      <w:pPr>
        <w:pStyle w:val="BodyText"/>
        <w:spacing w:before="57"/>
        <w:rPr>
          <w:b/>
        </w:rPr>
      </w:pPr>
    </w:p>
    <w:p w14:paraId="22F718B7" w14:textId="77777777" w:rsidR="00BE57B9" w:rsidRDefault="00000000">
      <w:pPr>
        <w:pStyle w:val="BodyText"/>
        <w:spacing w:before="1" w:line="283" w:lineRule="auto"/>
        <w:ind w:left="2375" w:right="1399" w:hanging="5"/>
      </w:pPr>
      <w:r>
        <w:t>Our residency is a nine-to-twelve-month full-time program, which offers three back-to-back units of full-time CPE. You must already have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CPE,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level courses to be accepted into the residency.</w:t>
      </w:r>
    </w:p>
    <w:p w14:paraId="7C7BFCAB" w14:textId="77777777" w:rsidR="00BE57B9" w:rsidRDefault="00BE57B9">
      <w:pPr>
        <w:spacing w:line="283" w:lineRule="auto"/>
        <w:sectPr w:rsidR="00BE57B9">
          <w:footerReference w:type="default" r:id="rId7"/>
          <w:type w:val="continuous"/>
          <w:pgSz w:w="12240" w:h="15840"/>
          <w:pgMar w:top="720" w:right="1140" w:bottom="360" w:left="380" w:header="0" w:footer="168" w:gutter="0"/>
          <w:pgNumType w:start="1"/>
          <w:cols w:space="720"/>
        </w:sectPr>
      </w:pPr>
    </w:p>
    <w:p w14:paraId="3B99244F" w14:textId="77777777" w:rsidR="00BE57B9" w:rsidRDefault="00000000">
      <w:pPr>
        <w:pStyle w:val="Heading1"/>
        <w:spacing w:before="272"/>
      </w:pPr>
      <w:r>
        <w:rPr>
          <w:color w:val="528DD2"/>
        </w:rPr>
        <w:lastRenderedPageBreak/>
        <w:t>Academic</w:t>
      </w:r>
      <w:r>
        <w:rPr>
          <w:color w:val="528DD2"/>
          <w:spacing w:val="-5"/>
        </w:rPr>
        <w:t xml:space="preserve"> </w:t>
      </w:r>
      <w:r>
        <w:rPr>
          <w:color w:val="528DD2"/>
          <w:spacing w:val="-2"/>
        </w:rPr>
        <w:t>Requirements</w:t>
      </w:r>
    </w:p>
    <w:p w14:paraId="7D12ABA9" w14:textId="77777777" w:rsidR="00BE57B9" w:rsidRDefault="00BE57B9">
      <w:pPr>
        <w:pStyle w:val="BodyText"/>
        <w:spacing w:before="60"/>
        <w:rPr>
          <w:b/>
        </w:rPr>
      </w:pPr>
    </w:p>
    <w:p w14:paraId="50505EBD" w14:textId="77777777" w:rsidR="00BE57B9" w:rsidRDefault="00000000">
      <w:pPr>
        <w:pStyle w:val="BodyText"/>
        <w:spacing w:line="285" w:lineRule="auto"/>
        <w:ind w:left="2375" w:right="1538" w:hanging="5"/>
      </w:pPr>
      <w:r>
        <w:t>The following is necessary for certification with CASC/ACSS: official transcripts,</w:t>
      </w:r>
      <w:r>
        <w:rPr>
          <w:spacing w:val="-4"/>
        </w:rPr>
        <w:t xml:space="preserve"> </w:t>
      </w:r>
      <w:r>
        <w:t>diplomas,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qualifying two-year graduate/master’s degree in theology or a clinical related field,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institution</w:t>
      </w:r>
      <w:r>
        <w:rPr>
          <w:spacing w:val="-5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 xml:space="preserve">of Theological Schools (ATS) or Council for Higher Education </w:t>
      </w:r>
      <w:r>
        <w:rPr>
          <w:spacing w:val="-2"/>
        </w:rPr>
        <w:t>Accreditation.</w:t>
      </w:r>
    </w:p>
    <w:p w14:paraId="364F6BAD" w14:textId="77777777" w:rsidR="00BE57B9" w:rsidRDefault="00000000">
      <w:pPr>
        <w:pStyle w:val="BodyText"/>
        <w:spacing w:before="292" w:line="285" w:lineRule="auto"/>
        <w:ind w:left="2375" w:right="1399" w:hanging="5"/>
      </w:pP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lacking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 xml:space="preserve">of equivalency must be obtained from the Academic Assessment </w:t>
      </w:r>
      <w:r>
        <w:rPr>
          <w:spacing w:val="-2"/>
        </w:rPr>
        <w:t>Committee.</w:t>
      </w:r>
    </w:p>
    <w:p w14:paraId="1FE29EB8" w14:textId="77777777" w:rsidR="00BE57B9" w:rsidRDefault="00BE57B9">
      <w:pPr>
        <w:pStyle w:val="BodyText"/>
        <w:spacing w:before="238"/>
      </w:pPr>
    </w:p>
    <w:p w14:paraId="53EFCEA3" w14:textId="77777777" w:rsidR="00BE57B9" w:rsidRDefault="00000000">
      <w:pPr>
        <w:pStyle w:val="Heading1"/>
        <w:spacing w:before="0"/>
      </w:pPr>
      <w:r>
        <w:rPr>
          <w:color w:val="528DD2"/>
        </w:rPr>
        <w:t>Elements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of</w:t>
      </w:r>
      <w:r>
        <w:rPr>
          <w:color w:val="528DD2"/>
          <w:spacing w:val="-3"/>
        </w:rPr>
        <w:t xml:space="preserve"> </w:t>
      </w:r>
      <w:r>
        <w:rPr>
          <w:color w:val="528DD2"/>
        </w:rPr>
        <w:t>Clinical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Psychospiritual</w:t>
      </w:r>
      <w:r>
        <w:rPr>
          <w:color w:val="528DD2"/>
          <w:spacing w:val="-4"/>
        </w:rPr>
        <w:t xml:space="preserve"> </w:t>
      </w:r>
      <w:r>
        <w:rPr>
          <w:color w:val="528DD2"/>
          <w:spacing w:val="-2"/>
        </w:rPr>
        <w:t>Education</w:t>
      </w:r>
    </w:p>
    <w:p w14:paraId="31D71C3B" w14:textId="77777777" w:rsidR="00BE57B9" w:rsidRDefault="00BE57B9">
      <w:pPr>
        <w:pStyle w:val="BodyText"/>
        <w:spacing w:before="64"/>
        <w:rPr>
          <w:b/>
        </w:rPr>
      </w:pPr>
    </w:p>
    <w:p w14:paraId="2462D52F" w14:textId="77777777" w:rsidR="00BE57B9" w:rsidRDefault="00000000">
      <w:pPr>
        <w:pStyle w:val="BodyText"/>
        <w:spacing w:line="285" w:lineRule="auto"/>
        <w:ind w:left="2375" w:right="1823" w:hanging="5"/>
      </w:pPr>
      <w:r>
        <w:rPr>
          <w:b/>
        </w:rPr>
        <w:t xml:space="preserve">Case Conferences </w:t>
      </w:r>
      <w:r>
        <w:t>Students present reports of psychospiritual care</w:t>
      </w:r>
      <w:r>
        <w:rPr>
          <w:spacing w:val="-4"/>
        </w:rPr>
        <w:t xml:space="preserve"> </w:t>
      </w:r>
      <w:r>
        <w:t>encounters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peer group setting.</w:t>
      </w:r>
    </w:p>
    <w:p w14:paraId="7E992611" w14:textId="77777777" w:rsidR="00BE57B9" w:rsidRDefault="00BE57B9">
      <w:pPr>
        <w:pStyle w:val="BodyText"/>
        <w:spacing w:before="3"/>
      </w:pPr>
    </w:p>
    <w:p w14:paraId="54564AA4" w14:textId="77777777" w:rsidR="00BE57B9" w:rsidRDefault="00000000">
      <w:pPr>
        <w:pStyle w:val="BodyText"/>
        <w:spacing w:before="1" w:line="285" w:lineRule="auto"/>
        <w:ind w:left="2375" w:right="1399" w:hanging="5"/>
      </w:pPr>
      <w:r>
        <w:rPr>
          <w:b/>
        </w:rPr>
        <w:t xml:space="preserve">Interpersonal Relationships Group (IPR) </w:t>
      </w:r>
      <w:r>
        <w:t>This group experience provides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self-aware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 space. Students reflect on how their attitudes, values, and assumptions affect their practice.</w:t>
      </w:r>
    </w:p>
    <w:p w14:paraId="0D7A6826" w14:textId="77777777" w:rsidR="00BE57B9" w:rsidRDefault="00BE57B9">
      <w:pPr>
        <w:pStyle w:val="BodyText"/>
        <w:spacing w:before="4"/>
      </w:pPr>
    </w:p>
    <w:p w14:paraId="2BFA22DE" w14:textId="77777777" w:rsidR="00BE57B9" w:rsidRDefault="00000000">
      <w:pPr>
        <w:pStyle w:val="BodyText"/>
        <w:spacing w:line="283" w:lineRule="auto"/>
        <w:ind w:left="2375" w:right="1538" w:hanging="5"/>
      </w:pPr>
      <w:r>
        <w:rPr>
          <w:b/>
        </w:rPr>
        <w:t xml:space="preserve">Didactic Seminars </w:t>
      </w:r>
      <w:r>
        <w:t>Resource persons lead didactic presentations from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fields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healthcare,</w:t>
      </w:r>
      <w:r>
        <w:rPr>
          <w:spacing w:val="-4"/>
        </w:rPr>
        <w:t xml:space="preserve"> </w:t>
      </w:r>
      <w:r>
        <w:t>covering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broad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dynamic range of issues.</w:t>
      </w:r>
    </w:p>
    <w:p w14:paraId="361866CE" w14:textId="77777777" w:rsidR="00BE57B9" w:rsidRDefault="00BE57B9">
      <w:pPr>
        <w:pStyle w:val="BodyText"/>
        <w:spacing w:before="9"/>
      </w:pPr>
    </w:p>
    <w:p w14:paraId="612CC39A" w14:textId="77777777" w:rsidR="00BE57B9" w:rsidRDefault="00000000">
      <w:pPr>
        <w:pStyle w:val="BodyText"/>
        <w:spacing w:line="285" w:lineRule="auto"/>
        <w:ind w:left="2375" w:right="1241" w:hanging="5"/>
        <w:jc w:val="both"/>
      </w:pPr>
      <w:r>
        <w:rPr>
          <w:b/>
        </w:rPr>
        <w:t xml:space="preserve">Individual Supervisory Sessions </w:t>
      </w:r>
      <w:r>
        <w:t xml:space="preserve">These one-to-one conversations with the teaching supervisor provide the student an opportunity for </w:t>
      </w:r>
      <w:r>
        <w:rPr>
          <w:spacing w:val="-2"/>
        </w:rPr>
        <w:t>professional</w:t>
      </w:r>
      <w:r>
        <w:rPr>
          <w:spacing w:val="-3"/>
        </w:rPr>
        <w:t xml:space="preserve"> </w:t>
      </w:r>
      <w:r>
        <w:rPr>
          <w:spacing w:val="-2"/>
        </w:rPr>
        <w:t>consultation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support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fulfilling</w:t>
      </w:r>
      <w:r>
        <w:rPr>
          <w:spacing w:val="5"/>
        </w:rPr>
        <w:t xml:space="preserve"> </w:t>
      </w:r>
      <w:r>
        <w:rPr>
          <w:spacing w:val="-2"/>
        </w:rPr>
        <w:t>program</w:t>
      </w:r>
      <w:r>
        <w:rPr>
          <w:spacing w:val="6"/>
        </w:rPr>
        <w:t xml:space="preserve"> </w:t>
      </w:r>
      <w:r>
        <w:rPr>
          <w:spacing w:val="-2"/>
        </w:rPr>
        <w:t>requirements.</w:t>
      </w:r>
    </w:p>
    <w:p w14:paraId="0D58D1D3" w14:textId="77777777" w:rsidR="00BE57B9" w:rsidRDefault="00BE57B9">
      <w:pPr>
        <w:spacing w:line="285" w:lineRule="auto"/>
        <w:jc w:val="both"/>
        <w:sectPr w:rsidR="00BE57B9">
          <w:pgSz w:w="12240" w:h="15840"/>
          <w:pgMar w:top="1820" w:right="1140" w:bottom="360" w:left="380" w:header="0" w:footer="168" w:gutter="0"/>
          <w:cols w:space="720"/>
        </w:sectPr>
      </w:pPr>
    </w:p>
    <w:p w14:paraId="23764E31" w14:textId="77777777" w:rsidR="00BE57B9" w:rsidRDefault="00000000">
      <w:pPr>
        <w:pStyle w:val="Heading1"/>
      </w:pPr>
      <w:r>
        <w:rPr>
          <w:color w:val="528DD2"/>
        </w:rPr>
        <w:lastRenderedPageBreak/>
        <w:t>Our</w:t>
      </w:r>
      <w:r>
        <w:rPr>
          <w:color w:val="528DD2"/>
          <w:spacing w:val="-6"/>
        </w:rPr>
        <w:t xml:space="preserve"> </w:t>
      </w:r>
      <w:r>
        <w:rPr>
          <w:color w:val="528DD2"/>
          <w:spacing w:val="-2"/>
        </w:rPr>
        <w:t>Program</w:t>
      </w:r>
    </w:p>
    <w:p w14:paraId="0CA26CAB" w14:textId="77777777" w:rsidR="00BE57B9" w:rsidRDefault="00BE57B9">
      <w:pPr>
        <w:pStyle w:val="BodyText"/>
        <w:spacing w:before="60"/>
        <w:rPr>
          <w:b/>
        </w:rPr>
      </w:pPr>
    </w:p>
    <w:p w14:paraId="4E2F9ECF" w14:textId="77777777" w:rsidR="00BE57B9" w:rsidRDefault="00000000">
      <w:pPr>
        <w:pStyle w:val="BodyText"/>
        <w:spacing w:line="285" w:lineRule="auto"/>
        <w:ind w:left="2375" w:right="1399" w:hanging="5"/>
      </w:pPr>
      <w:r>
        <w:t>The CPE curriculum is designed to develop learning of the competencies</w:t>
      </w:r>
      <w:r>
        <w:rPr>
          <w:spacing w:val="-6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Canadian</w:t>
      </w:r>
      <w:r>
        <w:rPr>
          <w:spacing w:val="-6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t>Care (CASC)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wishes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in this field. Providence Health Care (PHC) has continued with uninterrupted standing as a CASC-accredited Teaching Centre as a</w:t>
      </w:r>
    </w:p>
    <w:p w14:paraId="13EC3801" w14:textId="77777777" w:rsidR="00BE57B9" w:rsidRDefault="00000000">
      <w:pPr>
        <w:pStyle w:val="BodyText"/>
        <w:spacing w:line="285" w:lineRule="auto"/>
        <w:ind w:left="2375" w:right="1399"/>
      </w:pPr>
      <w:r>
        <w:t>legacy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incorporation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Paul’s</w:t>
      </w:r>
      <w:r>
        <w:rPr>
          <w:spacing w:val="-5"/>
        </w:rPr>
        <w:t xml:space="preserve"> </w:t>
      </w:r>
      <w:r>
        <w:t>Hospital’s CPE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which began 30 years ago. Our CPE program is indeed celebrating its 30</w:t>
      </w:r>
      <w:r>
        <w:rPr>
          <w:vertAlign w:val="superscript"/>
        </w:rPr>
        <w:t>th</w:t>
      </w:r>
      <w:r>
        <w:t xml:space="preserve"> Anniversary in 2024.</w:t>
      </w:r>
    </w:p>
    <w:p w14:paraId="682D38CE" w14:textId="77777777" w:rsidR="00BE57B9" w:rsidRDefault="00000000">
      <w:pPr>
        <w:pStyle w:val="BodyText"/>
        <w:spacing w:before="190" w:line="285" w:lineRule="auto"/>
        <w:ind w:left="2375" w:right="1399" w:hanging="5"/>
      </w:pPr>
      <w:r>
        <w:t xml:space="preserve">CPE at Providence Health Care is offered in conjunction with an affiliation agreement between PHC and the Vancouver School of Theology (VST). All CPE students are registered through </w:t>
      </w:r>
      <w:proofErr w:type="gramStart"/>
      <w:r>
        <w:t>VST</w:t>
      </w:r>
      <w:proofErr w:type="gramEnd"/>
      <w:r>
        <w:t xml:space="preserve"> and academic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and/or may be applied towards requirements related to field education or ordination in a number of traditions.</w:t>
      </w:r>
    </w:p>
    <w:p w14:paraId="29E92AC0" w14:textId="77777777" w:rsidR="00BE57B9" w:rsidRDefault="00000000">
      <w:pPr>
        <w:pStyle w:val="BodyText"/>
        <w:spacing w:before="191" w:line="285" w:lineRule="auto"/>
        <w:ind w:left="2375" w:right="1647" w:hanging="5"/>
      </w:pP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Vancouver,</w:t>
      </w:r>
      <w:r>
        <w:rPr>
          <w:spacing w:val="-5"/>
        </w:rPr>
        <w:t xml:space="preserve"> </w:t>
      </w:r>
      <w:r>
        <w:t>British</w:t>
      </w:r>
      <w:r>
        <w:rPr>
          <w:spacing w:val="-5"/>
        </w:rPr>
        <w:t xml:space="preserve"> </w:t>
      </w:r>
      <w:r>
        <w:t>Columbia,</w:t>
      </w:r>
      <w:r>
        <w:rPr>
          <w:spacing w:val="-6"/>
        </w:rPr>
        <w:t xml:space="preserve"> </w:t>
      </w:r>
      <w:r>
        <w:t>Providence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 complex of eight health care facilities, founded by five different congregations. Healthcare at Providence is delivered through program-based care.</w:t>
      </w:r>
    </w:p>
    <w:p w14:paraId="7119E183" w14:textId="77777777" w:rsidR="00BE57B9" w:rsidRDefault="00000000">
      <w:pPr>
        <w:pStyle w:val="Heading1"/>
        <w:spacing w:before="197"/>
      </w:pPr>
      <w:r>
        <w:rPr>
          <w:color w:val="528DD2"/>
        </w:rPr>
        <w:t>Our</w:t>
      </w:r>
      <w:r>
        <w:rPr>
          <w:color w:val="528DD2"/>
          <w:spacing w:val="-4"/>
        </w:rPr>
        <w:t xml:space="preserve"> </w:t>
      </w:r>
      <w:proofErr w:type="gramStart"/>
      <w:r>
        <w:rPr>
          <w:color w:val="528DD2"/>
          <w:spacing w:val="-2"/>
        </w:rPr>
        <w:t>Students</w:t>
      </w:r>
      <w:proofErr w:type="gramEnd"/>
    </w:p>
    <w:p w14:paraId="08ED4FA9" w14:textId="77777777" w:rsidR="00BE57B9" w:rsidRDefault="00BE57B9">
      <w:pPr>
        <w:pStyle w:val="BodyText"/>
        <w:spacing w:before="59"/>
        <w:rPr>
          <w:b/>
        </w:rPr>
      </w:pPr>
    </w:p>
    <w:p w14:paraId="1315BD9F" w14:textId="77777777" w:rsidR="00BE57B9" w:rsidRDefault="00000000">
      <w:pPr>
        <w:pStyle w:val="BodyText"/>
        <w:spacing w:before="1" w:line="285" w:lineRule="auto"/>
        <w:ind w:left="2375" w:right="1399" w:hanging="5"/>
      </w:pPr>
      <w:r>
        <w:t>We welcome applications from all applicants interested in exploring the field of spiritual care – whether for personal growth or a potential career.</w:t>
      </w:r>
      <w:r>
        <w:rPr>
          <w:spacing w:val="-5"/>
        </w:rPr>
        <w:t xml:space="preserve"> </w:t>
      </w:r>
      <w:r>
        <w:t>CPE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irrespective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race,</w:t>
      </w:r>
      <w:r>
        <w:rPr>
          <w:spacing w:val="-4"/>
        </w:rPr>
        <w:t xml:space="preserve"> </w:t>
      </w:r>
      <w:r>
        <w:t>gender,</w:t>
      </w:r>
      <w:r>
        <w:rPr>
          <w:spacing w:val="-4"/>
        </w:rPr>
        <w:t xml:space="preserve"> </w:t>
      </w:r>
      <w:r>
        <w:t>age, faith group, national origin, sexual orientation, or physical ability.</w:t>
      </w:r>
    </w:p>
    <w:p w14:paraId="44182B38" w14:textId="77777777" w:rsidR="00BE57B9" w:rsidRDefault="00BE57B9">
      <w:pPr>
        <w:pStyle w:val="BodyText"/>
        <w:spacing w:before="237"/>
      </w:pPr>
    </w:p>
    <w:p w14:paraId="6E3ECE7F" w14:textId="77777777" w:rsidR="00BE57B9" w:rsidRDefault="00000000">
      <w:pPr>
        <w:spacing w:line="283" w:lineRule="auto"/>
        <w:ind w:left="2375" w:right="1399" w:hanging="5"/>
        <w:rPr>
          <w:rFonts w:ascii="Arial"/>
        </w:rPr>
      </w:pPr>
      <w:r>
        <w:rPr>
          <w:rFonts w:ascii="Arial"/>
        </w:rPr>
        <w:t>A program will not be held for less than three students. In that case, every effort will be made to give the students ample notice of the program's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cancellation,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students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directed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 xml:space="preserve">alternative </w:t>
      </w:r>
      <w:r>
        <w:rPr>
          <w:rFonts w:ascii="Arial"/>
          <w:spacing w:val="-2"/>
        </w:rPr>
        <w:t>program.</w:t>
      </w:r>
    </w:p>
    <w:p w14:paraId="7A84BF17" w14:textId="77777777" w:rsidR="00BE57B9" w:rsidRDefault="00BE57B9">
      <w:pPr>
        <w:spacing w:line="283" w:lineRule="auto"/>
        <w:rPr>
          <w:rFonts w:ascii="Arial"/>
        </w:rPr>
        <w:sectPr w:rsidR="00BE57B9">
          <w:pgSz w:w="12240" w:h="15840"/>
          <w:pgMar w:top="1400" w:right="1140" w:bottom="360" w:left="380" w:header="0" w:footer="168" w:gutter="0"/>
          <w:cols w:space="720"/>
        </w:sectPr>
      </w:pPr>
    </w:p>
    <w:p w14:paraId="51A3D75B" w14:textId="77777777" w:rsidR="00BE57B9" w:rsidRDefault="00000000">
      <w:pPr>
        <w:pStyle w:val="Heading1"/>
      </w:pPr>
      <w:r>
        <w:rPr>
          <w:color w:val="528DD2"/>
        </w:rPr>
        <w:lastRenderedPageBreak/>
        <w:t>Our</w:t>
      </w:r>
      <w:r>
        <w:rPr>
          <w:color w:val="528DD2"/>
          <w:spacing w:val="-5"/>
        </w:rPr>
        <w:t xml:space="preserve"> </w:t>
      </w:r>
      <w:r>
        <w:rPr>
          <w:color w:val="528DD2"/>
        </w:rPr>
        <w:t>CPE</w:t>
      </w:r>
      <w:r>
        <w:rPr>
          <w:color w:val="528DD2"/>
          <w:spacing w:val="-4"/>
        </w:rPr>
        <w:t xml:space="preserve"> </w:t>
      </w:r>
      <w:r>
        <w:rPr>
          <w:color w:val="528DD2"/>
        </w:rPr>
        <w:t>Supervisor-</w:t>
      </w:r>
      <w:r>
        <w:rPr>
          <w:color w:val="528DD2"/>
          <w:spacing w:val="-2"/>
        </w:rPr>
        <w:t>Educator</w:t>
      </w:r>
    </w:p>
    <w:p w14:paraId="15899D98" w14:textId="77777777" w:rsidR="00BE57B9" w:rsidRDefault="00BE57B9">
      <w:pPr>
        <w:pStyle w:val="BodyText"/>
        <w:spacing w:before="21"/>
        <w:rPr>
          <w:b/>
        </w:rPr>
      </w:pPr>
    </w:p>
    <w:p w14:paraId="5B6F9A65" w14:textId="33EFEF27" w:rsidR="00BE57B9" w:rsidRDefault="00000000">
      <w:pPr>
        <w:spacing w:before="1" w:line="285" w:lineRule="auto"/>
        <w:ind w:left="2375" w:right="1397" w:hanging="5"/>
      </w:pPr>
      <w:r>
        <w:t>Our teaching supervisor is a specialist in Spiritual Health and a Certified Supervisor-</w:t>
      </w:r>
      <w:r>
        <w:rPr>
          <w:spacing w:val="-3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Canadian</w:t>
      </w:r>
      <w:r>
        <w:rPr>
          <w:spacing w:val="-3"/>
        </w:rPr>
        <w:t xml:space="preserve"> </w:t>
      </w:r>
      <w:r>
        <w:t>Association for Spiritual Care (CASC). The teaching Supervisor guides students as they learn the art and science of spiritual health and pastoral care.</w:t>
      </w:r>
    </w:p>
    <w:p w14:paraId="3795A4C6" w14:textId="2D0E3D4D" w:rsidR="00F85F07" w:rsidRDefault="00F85F07" w:rsidP="00F85F07">
      <w:pPr>
        <w:pStyle w:val="Heading1"/>
        <w:spacing w:before="193"/>
      </w:pPr>
      <w:r>
        <w:rPr>
          <w:color w:val="528DD2"/>
        </w:rPr>
        <w:t>Program</w:t>
      </w:r>
      <w:r>
        <w:rPr>
          <w:color w:val="528DD2"/>
          <w:spacing w:val="-5"/>
        </w:rPr>
        <w:t xml:space="preserve"> </w:t>
      </w:r>
      <w:r>
        <w:rPr>
          <w:color w:val="528DD2"/>
          <w:spacing w:val="-2"/>
        </w:rPr>
        <w:t>Information</w:t>
      </w:r>
    </w:p>
    <w:p w14:paraId="3ABF4FCE" w14:textId="16527E6E" w:rsidR="00F85F07" w:rsidRDefault="00F85F07">
      <w:pPr>
        <w:pStyle w:val="Heading1"/>
        <w:spacing w:before="193"/>
        <w:rPr>
          <w:color w:val="528DD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6404301" wp14:editId="0817FB1C">
            <wp:simplePos x="0" y="0"/>
            <wp:positionH relativeFrom="column">
              <wp:posOffset>787400</wp:posOffset>
            </wp:positionH>
            <wp:positionV relativeFrom="paragraph">
              <wp:posOffset>76835</wp:posOffset>
            </wp:positionV>
            <wp:extent cx="5094605" cy="4693285"/>
            <wp:effectExtent l="0" t="0" r="0" b="0"/>
            <wp:wrapThrough wrapText="bothSides">
              <wp:wrapPolygon edited="0">
                <wp:start x="0" y="0"/>
                <wp:lineTo x="0" y="21480"/>
                <wp:lineTo x="21484" y="21480"/>
                <wp:lineTo x="21484" y="0"/>
                <wp:lineTo x="0" y="0"/>
              </wp:wrapPolygon>
            </wp:wrapThrough>
            <wp:docPr id="256197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97727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8" t="29489" r="40904" b="20225"/>
                    <a:stretch/>
                  </pic:blipFill>
                  <pic:spPr bwMode="auto">
                    <a:xfrm>
                      <a:off x="0" y="0"/>
                      <a:ext cx="5094605" cy="469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7DE3D" w14:textId="6FE12398" w:rsidR="00F85F07" w:rsidRDefault="00F85F07">
      <w:pPr>
        <w:pStyle w:val="Heading1"/>
        <w:spacing w:before="193"/>
        <w:rPr>
          <w:color w:val="528DD2"/>
        </w:rPr>
      </w:pPr>
    </w:p>
    <w:p w14:paraId="444B4FC1" w14:textId="77777777" w:rsidR="00F85F07" w:rsidRDefault="00F85F07">
      <w:pPr>
        <w:pStyle w:val="Heading1"/>
        <w:spacing w:before="193"/>
        <w:rPr>
          <w:color w:val="528DD2"/>
        </w:rPr>
      </w:pPr>
    </w:p>
    <w:p w14:paraId="56D65163" w14:textId="77777777" w:rsidR="00F85F07" w:rsidRDefault="00F85F07">
      <w:pPr>
        <w:pStyle w:val="Heading1"/>
        <w:spacing w:before="193"/>
        <w:rPr>
          <w:color w:val="528DD2"/>
        </w:rPr>
      </w:pPr>
    </w:p>
    <w:p w14:paraId="6A96D65B" w14:textId="77777777" w:rsidR="00F85F07" w:rsidRDefault="00F85F07">
      <w:pPr>
        <w:pStyle w:val="Heading1"/>
        <w:spacing w:before="193"/>
        <w:rPr>
          <w:color w:val="528DD2"/>
        </w:rPr>
      </w:pPr>
    </w:p>
    <w:p w14:paraId="1A5D0750" w14:textId="77777777" w:rsidR="00F85F07" w:rsidRDefault="00F85F07">
      <w:pPr>
        <w:pStyle w:val="Heading1"/>
        <w:spacing w:before="193"/>
        <w:rPr>
          <w:color w:val="528DD2"/>
        </w:rPr>
      </w:pPr>
    </w:p>
    <w:p w14:paraId="39FE5152" w14:textId="77777777" w:rsidR="00F85F07" w:rsidRDefault="00F85F07">
      <w:pPr>
        <w:pStyle w:val="Heading1"/>
        <w:spacing w:before="193"/>
        <w:rPr>
          <w:color w:val="528DD2"/>
        </w:rPr>
      </w:pPr>
    </w:p>
    <w:p w14:paraId="24E190D2" w14:textId="77777777" w:rsidR="00F85F07" w:rsidRDefault="00F85F07">
      <w:pPr>
        <w:pStyle w:val="Heading1"/>
        <w:spacing w:before="193"/>
        <w:rPr>
          <w:color w:val="528DD2"/>
        </w:rPr>
      </w:pPr>
    </w:p>
    <w:p w14:paraId="781E1C0C" w14:textId="77777777" w:rsidR="00F85F07" w:rsidRDefault="00F85F07">
      <w:pPr>
        <w:pStyle w:val="Heading1"/>
        <w:spacing w:before="193"/>
        <w:rPr>
          <w:color w:val="528DD2"/>
        </w:rPr>
      </w:pPr>
    </w:p>
    <w:p w14:paraId="6B156EE5" w14:textId="77777777" w:rsidR="00F85F07" w:rsidRDefault="00F85F07">
      <w:pPr>
        <w:pStyle w:val="Heading1"/>
        <w:spacing w:before="193"/>
        <w:rPr>
          <w:color w:val="528DD2"/>
        </w:rPr>
      </w:pPr>
    </w:p>
    <w:p w14:paraId="743FDA34" w14:textId="77777777" w:rsidR="00F85F07" w:rsidRDefault="00F85F07">
      <w:pPr>
        <w:pStyle w:val="Heading1"/>
        <w:spacing w:before="193"/>
        <w:rPr>
          <w:color w:val="528DD2"/>
        </w:rPr>
      </w:pPr>
    </w:p>
    <w:p w14:paraId="170DFC77" w14:textId="77777777" w:rsidR="00F85F07" w:rsidRDefault="00F85F07">
      <w:pPr>
        <w:pStyle w:val="Heading1"/>
        <w:spacing w:before="193"/>
        <w:rPr>
          <w:color w:val="528DD2"/>
        </w:rPr>
      </w:pPr>
    </w:p>
    <w:p w14:paraId="72DA22DB" w14:textId="77777777" w:rsidR="00F85F07" w:rsidRDefault="00F85F07">
      <w:pPr>
        <w:pStyle w:val="Heading1"/>
        <w:spacing w:before="193"/>
        <w:rPr>
          <w:color w:val="528DD2"/>
        </w:rPr>
      </w:pPr>
    </w:p>
    <w:p w14:paraId="69E30FE9" w14:textId="77777777" w:rsidR="00F85F07" w:rsidRDefault="00F85F07">
      <w:pPr>
        <w:pStyle w:val="Heading1"/>
        <w:spacing w:before="193"/>
        <w:rPr>
          <w:color w:val="528DD2"/>
        </w:rPr>
      </w:pPr>
    </w:p>
    <w:p w14:paraId="13C8BAB0" w14:textId="77777777" w:rsidR="00F85F07" w:rsidRDefault="00F85F07">
      <w:pPr>
        <w:spacing w:before="89"/>
        <w:ind w:left="1134"/>
        <w:rPr>
          <w:b/>
          <w:color w:val="528DD2"/>
          <w:sz w:val="24"/>
        </w:rPr>
      </w:pPr>
    </w:p>
    <w:p w14:paraId="1DEC0697" w14:textId="77777777" w:rsidR="00F85F07" w:rsidRDefault="00F85F07">
      <w:pPr>
        <w:spacing w:before="89"/>
        <w:ind w:left="1134"/>
        <w:rPr>
          <w:b/>
          <w:color w:val="528DD2"/>
          <w:sz w:val="24"/>
        </w:rPr>
      </w:pPr>
    </w:p>
    <w:p w14:paraId="35C2B281" w14:textId="14911C01" w:rsidR="00BE57B9" w:rsidRDefault="00000000">
      <w:pPr>
        <w:spacing w:before="89"/>
        <w:ind w:left="1134"/>
        <w:rPr>
          <w:b/>
          <w:sz w:val="24"/>
        </w:rPr>
      </w:pPr>
      <w:r>
        <w:rPr>
          <w:b/>
          <w:color w:val="528DD2"/>
          <w:sz w:val="24"/>
        </w:rPr>
        <w:t>For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further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information</w:t>
      </w:r>
      <w:r>
        <w:rPr>
          <w:b/>
          <w:color w:val="528DD2"/>
          <w:spacing w:val="-3"/>
          <w:sz w:val="24"/>
        </w:rPr>
        <w:t xml:space="preserve"> </w:t>
      </w:r>
      <w:r>
        <w:rPr>
          <w:b/>
          <w:color w:val="528DD2"/>
          <w:sz w:val="24"/>
        </w:rPr>
        <w:t>and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to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request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an</w:t>
      </w:r>
      <w:r>
        <w:rPr>
          <w:b/>
          <w:color w:val="528DD2"/>
          <w:spacing w:val="-2"/>
          <w:sz w:val="24"/>
        </w:rPr>
        <w:t xml:space="preserve"> </w:t>
      </w:r>
      <w:r>
        <w:rPr>
          <w:b/>
          <w:color w:val="528DD2"/>
          <w:sz w:val="24"/>
        </w:rPr>
        <w:t>application</w:t>
      </w:r>
      <w:r>
        <w:rPr>
          <w:b/>
          <w:color w:val="528DD2"/>
          <w:spacing w:val="-3"/>
          <w:sz w:val="24"/>
        </w:rPr>
        <w:t xml:space="preserve"> </w:t>
      </w:r>
      <w:r>
        <w:rPr>
          <w:b/>
          <w:color w:val="528DD2"/>
          <w:sz w:val="24"/>
        </w:rPr>
        <w:t>form,</w:t>
      </w:r>
      <w:r>
        <w:rPr>
          <w:b/>
          <w:color w:val="528DD2"/>
          <w:spacing w:val="-1"/>
          <w:sz w:val="24"/>
        </w:rPr>
        <w:t xml:space="preserve"> </w:t>
      </w:r>
      <w:r>
        <w:rPr>
          <w:b/>
          <w:color w:val="528DD2"/>
          <w:sz w:val="24"/>
        </w:rPr>
        <w:t>please</w:t>
      </w:r>
      <w:r>
        <w:rPr>
          <w:b/>
          <w:color w:val="528DD2"/>
          <w:spacing w:val="-2"/>
          <w:sz w:val="24"/>
        </w:rPr>
        <w:t xml:space="preserve"> contact:</w:t>
      </w:r>
    </w:p>
    <w:p w14:paraId="7B097A28" w14:textId="77777777" w:rsidR="00F85F07" w:rsidRDefault="00F85F07">
      <w:pPr>
        <w:spacing w:before="60"/>
        <w:ind w:left="1566" w:right="3303" w:hanging="22"/>
        <w:rPr>
          <w:rFonts w:ascii="Calibri"/>
          <w:sz w:val="20"/>
        </w:rPr>
      </w:pPr>
      <w:r>
        <w:rPr>
          <w:rFonts w:ascii="Calibri"/>
          <w:b/>
          <w:sz w:val="20"/>
        </w:rPr>
        <w:t>Francis Lau</w:t>
      </w:r>
      <w:r w:rsidR="00000000">
        <w:rPr>
          <w:rFonts w:ascii="Calibri"/>
          <w:b/>
          <w:spacing w:val="80"/>
          <w:sz w:val="20"/>
        </w:rPr>
        <w:t xml:space="preserve"> </w:t>
      </w:r>
      <w:r w:rsidR="00000000">
        <w:rPr>
          <w:rFonts w:ascii="Calibri"/>
          <w:sz w:val="20"/>
        </w:rPr>
        <w:t xml:space="preserve">CPE Teaching Supervisor-Educator </w:t>
      </w:r>
    </w:p>
    <w:p w14:paraId="0946CB85" w14:textId="5225465F" w:rsidR="00BE57B9" w:rsidRDefault="00000000">
      <w:pPr>
        <w:spacing w:before="60"/>
        <w:ind w:left="1566" w:right="3303" w:hanging="22"/>
        <w:rPr>
          <w:rFonts w:ascii="Calibri"/>
          <w:sz w:val="20"/>
        </w:rPr>
      </w:pPr>
      <w:r>
        <w:rPr>
          <w:rFonts w:ascii="Calibri"/>
          <w:sz w:val="20"/>
        </w:rPr>
        <w:t>Providence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Health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Spiritual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Health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Pastoral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Care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Services</w:t>
      </w:r>
    </w:p>
    <w:p w14:paraId="7BFA59D2" w14:textId="4A996245" w:rsidR="00BE57B9" w:rsidRDefault="00000000">
      <w:pPr>
        <w:spacing w:before="1"/>
        <w:ind w:left="1566" w:right="1538"/>
        <w:rPr>
          <w:sz w:val="20"/>
        </w:rPr>
      </w:pPr>
      <w:r>
        <w:rPr>
          <w:color w:val="5E504B"/>
          <w:sz w:val="20"/>
        </w:rPr>
        <w:t>Mount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St.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Joseph</w:t>
      </w:r>
      <w:r>
        <w:rPr>
          <w:color w:val="5E504B"/>
          <w:spacing w:val="-5"/>
          <w:sz w:val="20"/>
        </w:rPr>
        <w:t xml:space="preserve"> </w:t>
      </w:r>
      <w:r>
        <w:rPr>
          <w:color w:val="5E504B"/>
          <w:sz w:val="20"/>
        </w:rPr>
        <w:t>Hospital</w:t>
      </w:r>
      <w:r>
        <w:rPr>
          <w:color w:val="5E504B"/>
          <w:spacing w:val="-2"/>
          <w:sz w:val="20"/>
        </w:rPr>
        <w:t xml:space="preserve"> </w:t>
      </w:r>
      <w:r>
        <w:rPr>
          <w:color w:val="5E504B"/>
          <w:sz w:val="20"/>
        </w:rPr>
        <w:t>–</w:t>
      </w:r>
      <w:r>
        <w:rPr>
          <w:color w:val="5E504B"/>
          <w:spacing w:val="-3"/>
          <w:sz w:val="20"/>
        </w:rPr>
        <w:t xml:space="preserve"> </w:t>
      </w:r>
      <w:r>
        <w:rPr>
          <w:color w:val="5E504B"/>
          <w:sz w:val="20"/>
        </w:rPr>
        <w:t>3080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Prince</w:t>
      </w:r>
      <w:r>
        <w:rPr>
          <w:color w:val="5E504B"/>
          <w:spacing w:val="-5"/>
          <w:sz w:val="20"/>
        </w:rPr>
        <w:t xml:space="preserve"> </w:t>
      </w:r>
      <w:r>
        <w:rPr>
          <w:color w:val="5E504B"/>
          <w:sz w:val="20"/>
        </w:rPr>
        <w:t>Edward</w:t>
      </w:r>
      <w:r>
        <w:rPr>
          <w:color w:val="5E504B"/>
          <w:spacing w:val="-5"/>
          <w:sz w:val="20"/>
        </w:rPr>
        <w:t xml:space="preserve"> </w:t>
      </w:r>
      <w:r>
        <w:rPr>
          <w:color w:val="5E504B"/>
          <w:sz w:val="20"/>
        </w:rPr>
        <w:t>St.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Rm.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4220,</w:t>
      </w:r>
      <w:r>
        <w:rPr>
          <w:color w:val="5E504B"/>
          <w:spacing w:val="37"/>
          <w:sz w:val="20"/>
        </w:rPr>
        <w:t xml:space="preserve"> </w:t>
      </w:r>
      <w:r>
        <w:rPr>
          <w:color w:val="5E504B"/>
          <w:sz w:val="20"/>
        </w:rPr>
        <w:t>Vancouver,</w:t>
      </w:r>
      <w:r>
        <w:rPr>
          <w:color w:val="5E504B"/>
          <w:spacing w:val="-3"/>
          <w:sz w:val="20"/>
        </w:rPr>
        <w:t xml:space="preserve"> </w:t>
      </w:r>
      <w:r>
        <w:rPr>
          <w:color w:val="5E504B"/>
          <w:sz w:val="20"/>
        </w:rPr>
        <w:t>BC</w:t>
      </w:r>
      <w:r>
        <w:rPr>
          <w:color w:val="5E504B"/>
          <w:spacing w:val="-4"/>
          <w:sz w:val="20"/>
        </w:rPr>
        <w:t xml:space="preserve"> </w:t>
      </w:r>
      <w:r>
        <w:rPr>
          <w:color w:val="5E504B"/>
          <w:sz w:val="20"/>
        </w:rPr>
        <w:t>V5T3N4</w:t>
      </w:r>
      <w:r>
        <w:rPr>
          <w:color w:val="5E504B"/>
          <w:spacing w:val="40"/>
          <w:sz w:val="20"/>
        </w:rPr>
        <w:t xml:space="preserve"> </w:t>
      </w:r>
      <w:r>
        <w:rPr>
          <w:color w:val="5E504B"/>
          <w:sz w:val="20"/>
        </w:rPr>
        <w:t xml:space="preserve">Phone: 604-874-1141 ext. 78005, Cell: 604-364-1677, or Admin </w:t>
      </w:r>
      <w:r w:rsidR="00F85F07">
        <w:rPr>
          <w:color w:val="5E504B"/>
          <w:sz w:val="20"/>
        </w:rPr>
        <w:t>Sunday</w:t>
      </w:r>
      <w:r>
        <w:rPr>
          <w:color w:val="5E504B"/>
          <w:sz w:val="20"/>
        </w:rPr>
        <w:t xml:space="preserve">: </w:t>
      </w:r>
      <w:r w:rsidR="00F85F07" w:rsidRPr="00F85F07">
        <w:rPr>
          <w:color w:val="5E504B"/>
          <w:sz w:val="20"/>
        </w:rPr>
        <w:t>236</w:t>
      </w:r>
      <w:r w:rsidR="00F85F07">
        <w:rPr>
          <w:color w:val="5E504B"/>
          <w:sz w:val="20"/>
        </w:rPr>
        <w:t>-</w:t>
      </w:r>
      <w:r w:rsidR="00F85F07" w:rsidRPr="00F85F07">
        <w:rPr>
          <w:color w:val="5E504B"/>
          <w:sz w:val="20"/>
        </w:rPr>
        <w:t>628</w:t>
      </w:r>
      <w:r w:rsidR="00F85F07">
        <w:rPr>
          <w:color w:val="5E504B"/>
          <w:sz w:val="20"/>
        </w:rPr>
        <w:t>-</w:t>
      </w:r>
      <w:r w:rsidR="00F85F07" w:rsidRPr="00F85F07">
        <w:rPr>
          <w:color w:val="5E504B"/>
          <w:sz w:val="20"/>
        </w:rPr>
        <w:t>1330</w:t>
      </w:r>
    </w:p>
    <w:p w14:paraId="25C0F381" w14:textId="41DB49F3" w:rsidR="00BE57B9" w:rsidRPr="00F85F07" w:rsidRDefault="00000000" w:rsidP="00F85F07">
      <w:pPr>
        <w:spacing w:line="244" w:lineRule="exact"/>
        <w:ind w:left="1542"/>
        <w:rPr>
          <w:sz w:val="20"/>
          <w:szCs w:val="20"/>
        </w:rPr>
      </w:pPr>
      <w:r>
        <w:rPr>
          <w:rFonts w:ascii="Calibri"/>
          <w:sz w:val="20"/>
        </w:rPr>
        <w:t>Email:</w:t>
      </w:r>
      <w:r>
        <w:rPr>
          <w:rFonts w:ascii="Calibri"/>
          <w:spacing w:val="-6"/>
          <w:sz w:val="20"/>
        </w:rPr>
        <w:t xml:space="preserve"> </w:t>
      </w:r>
      <w:hyperlink r:id="rId9" w:history="1">
        <w:r w:rsidR="00F85F07" w:rsidRPr="00F85F07">
          <w:rPr>
            <w:rStyle w:val="Hyperlink"/>
            <w:sz w:val="20"/>
            <w:szCs w:val="20"/>
          </w:rPr>
          <w:t>mlau19@providencehealth.bc.ca</w:t>
        </w:r>
      </w:hyperlink>
    </w:p>
    <w:p w14:paraId="5E4D15D7" w14:textId="77777777" w:rsidR="00F85F07" w:rsidRDefault="00F85F07" w:rsidP="00F85F07">
      <w:pPr>
        <w:spacing w:line="244" w:lineRule="exact"/>
        <w:ind w:left="1542"/>
        <w:rPr>
          <w:sz w:val="16"/>
        </w:rPr>
      </w:pPr>
    </w:p>
    <w:p w14:paraId="764A7493" w14:textId="77777777" w:rsidR="00BE57B9" w:rsidRDefault="00000000">
      <w:pPr>
        <w:spacing w:line="309" w:lineRule="auto"/>
        <w:ind w:left="1134" w:right="101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8D9823C" wp14:editId="6B65F3D0">
            <wp:simplePos x="0" y="0"/>
            <wp:positionH relativeFrom="page">
              <wp:posOffset>5092065</wp:posOffset>
            </wp:positionH>
            <wp:positionV relativeFrom="paragraph">
              <wp:posOffset>176559</wp:posOffset>
            </wp:positionV>
            <wp:extent cx="1890394" cy="311150"/>
            <wp:effectExtent l="0" t="0" r="0" b="0"/>
            <wp:wrapNone/>
            <wp:docPr id="4" name="Image 4" descr="cid:image001.jpg@01D92FEB.C1227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id:image001.jpg@01D92FEB.C12270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394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E504B"/>
          <w:sz w:val="16"/>
        </w:rPr>
        <w:t>I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acknowledge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with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gratitude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that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I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live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and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work</w:t>
      </w:r>
      <w:r>
        <w:rPr>
          <w:color w:val="5E504B"/>
          <w:spacing w:val="-1"/>
          <w:sz w:val="16"/>
        </w:rPr>
        <w:t xml:space="preserve"> </w:t>
      </w:r>
      <w:r>
        <w:rPr>
          <w:color w:val="5E504B"/>
          <w:sz w:val="16"/>
        </w:rPr>
        <w:t>on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the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traditional,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ancestral</w:t>
      </w:r>
      <w:r>
        <w:rPr>
          <w:color w:val="5E504B"/>
          <w:spacing w:val="-1"/>
          <w:sz w:val="16"/>
        </w:rPr>
        <w:t xml:space="preserve"> </w:t>
      </w:r>
      <w:r>
        <w:rPr>
          <w:color w:val="5E504B"/>
          <w:sz w:val="16"/>
        </w:rPr>
        <w:t>and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unceded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territories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of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the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Coast</w:t>
      </w:r>
      <w:r>
        <w:rPr>
          <w:color w:val="5E504B"/>
          <w:spacing w:val="-3"/>
          <w:sz w:val="16"/>
        </w:rPr>
        <w:t xml:space="preserve"> </w:t>
      </w:r>
      <w:r>
        <w:rPr>
          <w:color w:val="5E504B"/>
          <w:sz w:val="16"/>
        </w:rPr>
        <w:t>Salish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peoples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–</w:t>
      </w:r>
      <w:r>
        <w:rPr>
          <w:color w:val="5E504B"/>
          <w:spacing w:val="-2"/>
          <w:sz w:val="16"/>
        </w:rPr>
        <w:t xml:space="preserve"> </w:t>
      </w:r>
      <w:r>
        <w:rPr>
          <w:color w:val="5E504B"/>
          <w:sz w:val="16"/>
        </w:rPr>
        <w:t>the</w:t>
      </w:r>
      <w:r>
        <w:rPr>
          <w:color w:val="5E504B"/>
          <w:spacing w:val="40"/>
          <w:sz w:val="16"/>
        </w:rPr>
        <w:t xml:space="preserve"> </w:t>
      </w:r>
      <w:r>
        <w:rPr>
          <w:color w:val="5E504B"/>
          <w:sz w:val="16"/>
        </w:rPr>
        <w:t xml:space="preserve">Musqueam, Squamish, and Tsleil-Waututh Nations. </w:t>
      </w:r>
      <w:hyperlink r:id="rId11">
        <w:r>
          <w:rPr>
            <w:color w:val="0000FF"/>
            <w:sz w:val="20"/>
            <w:u w:val="single" w:color="0000FF"/>
          </w:rPr>
          <w:t>www.providencehealthcare.org</w:t>
        </w:r>
      </w:hyperlink>
    </w:p>
    <w:p w14:paraId="0E5CA6EC" w14:textId="77777777" w:rsidR="00BE57B9" w:rsidRDefault="00BE57B9">
      <w:pPr>
        <w:pStyle w:val="BodyText"/>
        <w:spacing w:before="4"/>
        <w:rPr>
          <w:sz w:val="16"/>
        </w:rPr>
      </w:pPr>
    </w:p>
    <w:sectPr w:rsidR="00BE57B9">
      <w:pgSz w:w="12240" w:h="15840"/>
      <w:pgMar w:top="1820" w:right="1140" w:bottom="360" w:left="380" w:header="0" w:footer="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9E89" w14:textId="77777777" w:rsidR="00DE792E" w:rsidRDefault="00DE792E">
      <w:r>
        <w:separator/>
      </w:r>
    </w:p>
  </w:endnote>
  <w:endnote w:type="continuationSeparator" w:id="0">
    <w:p w14:paraId="5FD700F7" w14:textId="77777777" w:rsidR="00DE792E" w:rsidRDefault="00DE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D40D" w14:textId="77777777" w:rsidR="00BE57B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544B082" wp14:editId="27343628">
              <wp:simplePos x="0" y="0"/>
              <wp:positionH relativeFrom="page">
                <wp:posOffset>0</wp:posOffset>
              </wp:positionH>
              <wp:positionV relativeFrom="page">
                <wp:posOffset>9812567</wp:posOffset>
              </wp:positionV>
              <wp:extent cx="7772400" cy="228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286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28600"/>
                            </a:lnTo>
                            <a:lnTo>
                              <a:pt x="7772400" y="2286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EE334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BC64B" id="Graphic 1" o:spid="_x0000_s1026" style="position:absolute;margin-left:0;margin-top:772.65pt;width:612pt;height:18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" path="m7772400,l,,,228600r7772400,l7772400,xe" fillcolor="#ee3340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641E" w14:textId="77777777" w:rsidR="00DE792E" w:rsidRDefault="00DE792E">
      <w:r>
        <w:separator/>
      </w:r>
    </w:p>
  </w:footnote>
  <w:footnote w:type="continuationSeparator" w:id="0">
    <w:p w14:paraId="3C4D379C" w14:textId="77777777" w:rsidR="00DE792E" w:rsidRDefault="00DE7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7B9"/>
    <w:rsid w:val="00BE57B9"/>
    <w:rsid w:val="00DE792E"/>
    <w:rsid w:val="00F8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03FA"/>
  <w15:docId w15:val="{FFC6AE95-0CB9-46AC-9947-D874956A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spacing w:before="39"/>
      <w:ind w:left="11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85F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rovidencehealthcare.org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mlau19@providencehealth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 Communications</dc:creator>
  <cp:lastModifiedBy>Lau, Man [PH]</cp:lastModifiedBy>
  <cp:revision>2</cp:revision>
  <dcterms:created xsi:type="dcterms:W3CDTF">2024-10-23T16:44:00Z</dcterms:created>
  <dcterms:modified xsi:type="dcterms:W3CDTF">2024-10-23T16:53:00Z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Microsoft 365</vt:lpwstr>
  </property>
</Properties>
</file>